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sz w:val="48"/>
          <w:szCs w:val="48"/>
        </w:rPr>
      </w:pPr>
      <w:bookmarkStart w:id="0" w:name="_Toc448835371"/>
      <w:bookmarkStart w:id="1" w:name="_Toc8138405"/>
      <w:r>
        <w:rPr>
          <w:rFonts w:hint="eastAsia" w:ascii="方正小标宋简体" w:eastAsia="方正小标宋简体"/>
          <w:sz w:val="48"/>
          <w:szCs w:val="48"/>
        </w:rPr>
        <w:t>城市轨道交通运营</w:t>
      </w:r>
      <w:r>
        <w:rPr>
          <w:rFonts w:hint="eastAsia" w:ascii="方正小标宋简体" w:eastAsia="方正小标宋简体"/>
          <w:sz w:val="48"/>
          <w:szCs w:val="48"/>
          <w:lang w:val="en-US" w:eastAsia="zh-CN"/>
        </w:rPr>
        <w:t>服务</w:t>
      </w:r>
      <w:r>
        <w:rPr>
          <w:rFonts w:hint="eastAsia" w:ascii="方正小标宋简体" w:eastAsia="方正小标宋简体"/>
          <w:sz w:val="48"/>
          <w:szCs w:val="48"/>
        </w:rPr>
        <w:t>专业</w:t>
      </w:r>
    </w:p>
    <w:p>
      <w:pPr>
        <w:widowControl/>
        <w:jc w:val="center"/>
        <w:rPr>
          <w:rFonts w:ascii="方正小标宋简体" w:eastAsia="方正小标宋简体"/>
          <w:sz w:val="48"/>
          <w:szCs w:val="48"/>
        </w:rPr>
      </w:pPr>
      <w:r>
        <w:rPr>
          <w:rFonts w:hint="eastAsia" w:ascii="方正小标宋简体" w:eastAsia="方正小标宋简体"/>
          <w:sz w:val="48"/>
          <w:szCs w:val="48"/>
        </w:rPr>
        <w:t>中高职一体化五年制职业教育人才培养方案</w:t>
      </w:r>
      <w:bookmarkEnd w:id="0"/>
      <w:bookmarkEnd w:id="1"/>
    </w:p>
    <w:p>
      <w:pPr>
        <w:rPr>
          <w:rFonts w:eastAsia="黑体"/>
          <w:sz w:val="24"/>
        </w:rPr>
      </w:pPr>
    </w:p>
    <w:p>
      <w:pPr>
        <w:keepNext/>
        <w:keepLines/>
        <w:numPr>
          <w:ilvl w:val="0"/>
          <w:numId w:val="0"/>
        </w:numPr>
        <w:snapToGrid w:val="0"/>
        <w:spacing w:before="156" w:beforeLines="50" w:after="156" w:afterLines="50" w:line="440" w:lineRule="exact"/>
        <w:outlineLvl w:val="1"/>
        <w:rPr>
          <w:rFonts w:hint="eastAsia" w:ascii="宋体" w:hAnsi="宋体" w:cs="宋体"/>
          <w:b/>
          <w:bCs/>
          <w:kern w:val="44"/>
          <w:sz w:val="28"/>
          <w:szCs w:val="28"/>
        </w:rPr>
      </w:pPr>
      <w:bookmarkStart w:id="2" w:name="_Toc391628729"/>
      <w:bookmarkStart w:id="3" w:name="_Toc391645948"/>
      <w:bookmarkStart w:id="4" w:name="_Toc448835372"/>
      <w:bookmarkStart w:id="5" w:name="_Toc391628728"/>
      <w:bookmarkStart w:id="6" w:name="_Toc288748867"/>
      <w:r>
        <w:rPr>
          <w:rFonts w:hint="eastAsia" w:ascii="宋体" w:hAnsi="宋体" w:cs="宋体"/>
          <w:b/>
          <w:bCs/>
          <w:kern w:val="44"/>
          <w:sz w:val="28"/>
          <w:szCs w:val="28"/>
        </w:rPr>
        <w:t>一、</w:t>
      </w:r>
      <w:bookmarkEnd w:id="2"/>
      <w:bookmarkEnd w:id="3"/>
      <w:bookmarkEnd w:id="4"/>
      <w:r>
        <w:rPr>
          <w:rFonts w:hint="eastAsia" w:ascii="宋体" w:hAnsi="宋体" w:cs="宋体"/>
          <w:b/>
          <w:bCs/>
          <w:kern w:val="44"/>
          <w:sz w:val="28"/>
          <w:szCs w:val="28"/>
        </w:rPr>
        <w:t>专业名称及代码</w:t>
      </w:r>
    </w:p>
    <w:p>
      <w:pPr>
        <w:snapToGrid w:val="0"/>
        <w:spacing w:line="440" w:lineRule="exact"/>
        <w:ind w:firstLine="480" w:firstLineChars="200"/>
        <w:rPr>
          <w:rFonts w:hint="eastAsia" w:ascii="宋体" w:hAnsi="宋体" w:eastAsia="宋体"/>
          <w:bCs/>
          <w:sz w:val="24"/>
          <w:lang w:eastAsia="zh-CN"/>
        </w:rPr>
      </w:pPr>
      <w:r>
        <w:rPr>
          <w:rFonts w:hint="eastAsia" w:ascii="宋体" w:hAnsi="宋体"/>
          <w:bCs/>
          <w:sz w:val="24"/>
        </w:rPr>
        <w:t>专业名称：城市轨道交通运营</w:t>
      </w:r>
      <w:r>
        <w:rPr>
          <w:rFonts w:hint="eastAsia" w:ascii="宋体" w:hAnsi="宋体"/>
          <w:bCs/>
          <w:sz w:val="24"/>
          <w:lang w:val="en-US" w:eastAsia="zh-CN"/>
        </w:rPr>
        <w:t>服务</w:t>
      </w:r>
    </w:p>
    <w:p>
      <w:pPr>
        <w:snapToGrid w:val="0"/>
        <w:spacing w:line="440" w:lineRule="exact"/>
        <w:ind w:firstLine="480" w:firstLineChars="200"/>
        <w:rPr>
          <w:rFonts w:ascii="宋体" w:hAnsi="宋体"/>
          <w:bCs/>
          <w:sz w:val="24"/>
        </w:rPr>
      </w:pPr>
      <w:r>
        <w:rPr>
          <w:rFonts w:hint="eastAsia" w:ascii="宋体" w:hAnsi="宋体"/>
          <w:bCs/>
          <w:sz w:val="24"/>
        </w:rPr>
        <w:t>专业代码：</w:t>
      </w:r>
      <w:r>
        <w:rPr>
          <w:rFonts w:hint="eastAsia" w:ascii="Times New Roman" w:hAnsi="Times New Roman" w:eastAsia="仿宋_GB2312" w:cs="仿宋_GB2312"/>
          <w:i w:val="0"/>
          <w:color w:val="000000"/>
          <w:kern w:val="0"/>
          <w:sz w:val="24"/>
          <w:szCs w:val="24"/>
          <w:u w:val="none"/>
          <w:lang w:val="en-US" w:eastAsia="zh-CN" w:bidi="ar"/>
        </w:rPr>
        <w:t>700604</w:t>
      </w:r>
    </w:p>
    <w:p>
      <w:pPr>
        <w:keepNext/>
        <w:keepLines/>
        <w:numPr>
          <w:ilvl w:val="0"/>
          <w:numId w:val="0"/>
        </w:numPr>
        <w:snapToGrid w:val="0"/>
        <w:spacing w:before="156" w:beforeLines="50" w:after="156" w:afterLines="50" w:line="440" w:lineRule="exact"/>
        <w:outlineLvl w:val="1"/>
        <w:rPr>
          <w:rFonts w:hint="eastAsia" w:ascii="宋体" w:hAnsi="宋体" w:cs="宋体"/>
          <w:b/>
          <w:bCs/>
          <w:kern w:val="44"/>
          <w:sz w:val="28"/>
          <w:szCs w:val="28"/>
        </w:rPr>
      </w:pPr>
      <w:bookmarkStart w:id="7" w:name="_Toc448835373"/>
      <w:bookmarkStart w:id="8" w:name="_Toc391645949"/>
      <w:r>
        <w:rPr>
          <w:rFonts w:hint="eastAsia" w:ascii="宋体" w:hAnsi="宋体" w:cs="宋体"/>
          <w:b/>
          <w:bCs/>
          <w:kern w:val="44"/>
          <w:sz w:val="28"/>
          <w:szCs w:val="28"/>
        </w:rPr>
        <w:t>二、</w:t>
      </w:r>
      <w:bookmarkEnd w:id="5"/>
      <w:bookmarkEnd w:id="6"/>
      <w:bookmarkEnd w:id="7"/>
      <w:bookmarkEnd w:id="8"/>
      <w:r>
        <w:rPr>
          <w:rFonts w:hint="eastAsia" w:ascii="宋体" w:hAnsi="宋体" w:cs="宋体"/>
          <w:b/>
          <w:bCs/>
          <w:kern w:val="44"/>
          <w:sz w:val="28"/>
          <w:szCs w:val="28"/>
        </w:rPr>
        <w:t>入学要求</w:t>
      </w:r>
    </w:p>
    <w:p>
      <w:pPr>
        <w:snapToGrid w:val="0"/>
        <w:spacing w:line="440" w:lineRule="exact"/>
        <w:ind w:firstLine="480" w:firstLineChars="200"/>
        <w:rPr>
          <w:rFonts w:ascii="宋体"/>
          <w:bCs/>
          <w:sz w:val="24"/>
        </w:rPr>
      </w:pPr>
      <w:r>
        <w:rPr>
          <w:rFonts w:hint="eastAsia" w:ascii="宋体" w:hAnsi="宋体"/>
          <w:bCs/>
          <w:sz w:val="24"/>
        </w:rPr>
        <w:t>初中毕业生或具有同等学力者</w:t>
      </w:r>
    </w:p>
    <w:p>
      <w:pPr>
        <w:keepNext/>
        <w:keepLines/>
        <w:numPr>
          <w:ilvl w:val="0"/>
          <w:numId w:val="0"/>
        </w:numPr>
        <w:snapToGrid w:val="0"/>
        <w:spacing w:before="156" w:beforeLines="50" w:after="156" w:afterLines="50" w:line="440" w:lineRule="exact"/>
        <w:outlineLvl w:val="1"/>
        <w:rPr>
          <w:rFonts w:hint="eastAsia" w:ascii="宋体" w:hAnsi="宋体" w:cs="宋体"/>
          <w:b/>
          <w:bCs/>
          <w:kern w:val="44"/>
          <w:sz w:val="28"/>
          <w:szCs w:val="28"/>
        </w:rPr>
      </w:pPr>
      <w:r>
        <w:rPr>
          <w:rFonts w:hint="eastAsia" w:ascii="宋体" w:hAnsi="宋体" w:cs="宋体"/>
          <w:b/>
          <w:bCs/>
          <w:kern w:val="44"/>
          <w:sz w:val="28"/>
          <w:szCs w:val="28"/>
        </w:rPr>
        <w:t>三、修业年限</w:t>
      </w:r>
    </w:p>
    <w:p>
      <w:pPr>
        <w:snapToGrid w:val="0"/>
        <w:spacing w:line="440" w:lineRule="exact"/>
        <w:ind w:firstLine="480" w:firstLineChars="200"/>
        <w:rPr>
          <w:rFonts w:ascii="宋体"/>
          <w:bCs/>
          <w:sz w:val="24"/>
        </w:rPr>
      </w:pPr>
      <w:r>
        <w:rPr>
          <w:rFonts w:ascii="宋体" w:hAnsi="宋体"/>
          <w:bCs/>
          <w:sz w:val="24"/>
        </w:rPr>
        <w:t>5</w:t>
      </w:r>
      <w:r>
        <w:rPr>
          <w:rFonts w:hint="eastAsia" w:ascii="宋体" w:hAnsi="宋体"/>
          <w:bCs/>
          <w:sz w:val="24"/>
        </w:rPr>
        <w:t>年</w:t>
      </w:r>
    </w:p>
    <w:p>
      <w:pPr>
        <w:keepNext/>
        <w:keepLines/>
        <w:numPr>
          <w:ilvl w:val="0"/>
          <w:numId w:val="0"/>
        </w:numPr>
        <w:snapToGrid w:val="0"/>
        <w:spacing w:before="156" w:beforeLines="50" w:after="156" w:afterLines="50" w:line="440" w:lineRule="exact"/>
        <w:outlineLvl w:val="1"/>
        <w:rPr>
          <w:rFonts w:hint="eastAsia" w:ascii="宋体" w:hAnsi="宋体" w:cs="宋体"/>
          <w:b/>
          <w:bCs/>
          <w:kern w:val="44"/>
          <w:sz w:val="28"/>
          <w:szCs w:val="28"/>
        </w:rPr>
      </w:pPr>
      <w:bookmarkStart w:id="9" w:name="_Toc391645950"/>
      <w:bookmarkStart w:id="10" w:name="_Toc448835374"/>
      <w:bookmarkStart w:id="11" w:name="_Toc288748868"/>
      <w:bookmarkStart w:id="12" w:name="_Toc288748870"/>
      <w:bookmarkStart w:id="13" w:name="_Toc391628730"/>
      <w:bookmarkStart w:id="14" w:name="_Toc415846067"/>
      <w:r>
        <w:rPr>
          <w:rFonts w:hint="eastAsia" w:ascii="宋体" w:hAnsi="宋体" w:cs="宋体"/>
          <w:b/>
          <w:bCs/>
          <w:kern w:val="44"/>
          <w:sz w:val="28"/>
          <w:szCs w:val="28"/>
        </w:rPr>
        <w:t>四、职业面向</w:t>
      </w:r>
    </w:p>
    <w:tbl>
      <w:tblPr>
        <w:tblStyle w:val="24"/>
        <w:tblpPr w:leftFromText="180" w:rightFromText="180" w:vertAnchor="text" w:horzAnchor="margin" w:tblpXSpec="center" w:tblpY="6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8"/>
        <w:gridCol w:w="1223"/>
        <w:gridCol w:w="1757"/>
        <w:gridCol w:w="1558"/>
        <w:gridCol w:w="1702"/>
        <w:gridCol w:w="1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exact"/>
          <w:tblHeader/>
        </w:trPr>
        <w:tc>
          <w:tcPr>
            <w:tcW w:w="720" w:type="pct"/>
            <w:vAlign w:val="center"/>
          </w:tcPr>
          <w:p>
            <w:pPr>
              <w:spacing w:line="360" w:lineRule="exact"/>
              <w:jc w:val="center"/>
              <w:rPr>
                <w:rFonts w:ascii="宋体" w:hAnsi="宋体" w:cs="Tahoma"/>
                <w:b/>
                <w:bCs/>
                <w:kern w:val="0"/>
                <w:szCs w:val="21"/>
              </w:rPr>
            </w:pPr>
            <w:r>
              <w:rPr>
                <w:rFonts w:hint="eastAsia" w:ascii="宋体" w:hAnsi="宋体" w:cs="Tahoma"/>
                <w:b/>
                <w:bCs/>
                <w:kern w:val="0"/>
                <w:szCs w:val="21"/>
              </w:rPr>
              <w:t>所属专业大类（代码）</w:t>
            </w:r>
          </w:p>
        </w:tc>
        <w:tc>
          <w:tcPr>
            <w:tcW w:w="639" w:type="pct"/>
            <w:vAlign w:val="center"/>
          </w:tcPr>
          <w:p>
            <w:pPr>
              <w:spacing w:line="360" w:lineRule="exact"/>
              <w:jc w:val="center"/>
              <w:rPr>
                <w:rFonts w:ascii="宋体" w:hAnsi="宋体" w:cs="Tahoma"/>
                <w:b/>
                <w:bCs/>
                <w:kern w:val="0"/>
                <w:szCs w:val="21"/>
              </w:rPr>
            </w:pPr>
            <w:r>
              <w:rPr>
                <w:rFonts w:hint="eastAsia" w:ascii="宋体" w:hAnsi="宋体" w:cs="Tahoma"/>
                <w:b/>
                <w:bCs/>
                <w:kern w:val="0"/>
                <w:szCs w:val="21"/>
              </w:rPr>
              <w:t>所属专业类（代码）</w:t>
            </w:r>
          </w:p>
        </w:tc>
        <w:tc>
          <w:tcPr>
            <w:tcW w:w="918" w:type="pct"/>
            <w:vAlign w:val="center"/>
          </w:tcPr>
          <w:p>
            <w:pPr>
              <w:spacing w:line="360" w:lineRule="exact"/>
              <w:jc w:val="center"/>
              <w:rPr>
                <w:rFonts w:ascii="宋体" w:hAnsi="宋体" w:cs="Tahoma"/>
                <w:b/>
                <w:bCs/>
                <w:kern w:val="0"/>
                <w:szCs w:val="21"/>
              </w:rPr>
            </w:pPr>
            <w:r>
              <w:rPr>
                <w:rFonts w:hint="eastAsia" w:ascii="宋体" w:hAnsi="宋体" w:cs="Tahoma"/>
                <w:b/>
                <w:bCs/>
                <w:kern w:val="0"/>
                <w:szCs w:val="21"/>
              </w:rPr>
              <w:t>对应行业</w:t>
            </w:r>
          </w:p>
          <w:p>
            <w:pPr>
              <w:spacing w:line="360" w:lineRule="exact"/>
              <w:jc w:val="center"/>
              <w:rPr>
                <w:rFonts w:ascii="宋体" w:hAnsi="宋体" w:cs="Tahoma"/>
                <w:b/>
                <w:bCs/>
                <w:kern w:val="0"/>
                <w:szCs w:val="21"/>
              </w:rPr>
            </w:pPr>
            <w:r>
              <w:rPr>
                <w:rFonts w:hint="eastAsia" w:ascii="宋体" w:hAnsi="宋体" w:cs="Tahoma"/>
                <w:b/>
                <w:bCs/>
                <w:kern w:val="0"/>
                <w:szCs w:val="21"/>
              </w:rPr>
              <w:t>（代码）</w:t>
            </w:r>
          </w:p>
        </w:tc>
        <w:tc>
          <w:tcPr>
            <w:tcW w:w="814" w:type="pct"/>
            <w:vAlign w:val="center"/>
          </w:tcPr>
          <w:p>
            <w:pPr>
              <w:spacing w:line="360" w:lineRule="exact"/>
              <w:jc w:val="center"/>
              <w:rPr>
                <w:rFonts w:ascii="宋体" w:hAnsi="宋体" w:cs="Tahoma"/>
                <w:b/>
                <w:bCs/>
                <w:kern w:val="0"/>
                <w:szCs w:val="21"/>
              </w:rPr>
            </w:pPr>
            <w:r>
              <w:rPr>
                <w:rFonts w:hint="eastAsia" w:ascii="宋体" w:hAnsi="宋体" w:cs="Tahoma"/>
                <w:b/>
                <w:bCs/>
                <w:kern w:val="0"/>
                <w:szCs w:val="21"/>
              </w:rPr>
              <w:t>主要职业类别</w:t>
            </w:r>
          </w:p>
          <w:p>
            <w:pPr>
              <w:spacing w:line="360" w:lineRule="exact"/>
              <w:jc w:val="center"/>
              <w:rPr>
                <w:rFonts w:ascii="宋体" w:hAnsi="宋体" w:cs="Tahoma"/>
                <w:b/>
                <w:bCs/>
                <w:kern w:val="0"/>
                <w:szCs w:val="21"/>
              </w:rPr>
            </w:pPr>
            <w:r>
              <w:rPr>
                <w:rFonts w:hint="eastAsia" w:ascii="宋体" w:hAnsi="宋体" w:cs="Tahoma"/>
                <w:b/>
                <w:bCs/>
                <w:kern w:val="0"/>
                <w:szCs w:val="21"/>
              </w:rPr>
              <w:t>（代码）</w:t>
            </w:r>
          </w:p>
        </w:tc>
        <w:tc>
          <w:tcPr>
            <w:tcW w:w="889" w:type="pct"/>
            <w:vAlign w:val="center"/>
          </w:tcPr>
          <w:p>
            <w:pPr>
              <w:spacing w:line="360" w:lineRule="exact"/>
              <w:jc w:val="center"/>
              <w:rPr>
                <w:rFonts w:ascii="宋体" w:hAnsi="宋体" w:cs="Tahoma"/>
                <w:b/>
                <w:bCs/>
                <w:kern w:val="0"/>
                <w:szCs w:val="21"/>
              </w:rPr>
            </w:pPr>
            <w:r>
              <w:rPr>
                <w:rFonts w:hint="eastAsia" w:ascii="宋体" w:hAnsi="宋体" w:cs="Tahoma"/>
                <w:b/>
                <w:bCs/>
                <w:kern w:val="0"/>
                <w:szCs w:val="21"/>
              </w:rPr>
              <w:t>主要岗位类别（或技术领域）</w:t>
            </w:r>
          </w:p>
        </w:tc>
        <w:tc>
          <w:tcPr>
            <w:tcW w:w="1019" w:type="pct"/>
            <w:vAlign w:val="center"/>
          </w:tcPr>
          <w:p>
            <w:pPr>
              <w:spacing w:line="360" w:lineRule="exact"/>
              <w:jc w:val="center"/>
              <w:rPr>
                <w:rFonts w:ascii="宋体" w:hAnsi="宋体" w:cs="Tahoma"/>
                <w:b/>
                <w:bCs/>
                <w:kern w:val="0"/>
                <w:szCs w:val="21"/>
              </w:rPr>
            </w:pPr>
            <w:r>
              <w:rPr>
                <w:rFonts w:hint="eastAsia" w:ascii="宋体" w:hAnsi="宋体" w:cs="Tahoma"/>
                <w:b/>
                <w:bCs/>
                <w:kern w:val="0"/>
                <w:szCs w:val="21"/>
              </w:rPr>
              <w:t>职业技能等级证书或行业企业标准和证书举例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1" w:hRule="exact"/>
        </w:trPr>
        <w:tc>
          <w:tcPr>
            <w:tcW w:w="720" w:type="pct"/>
            <w:vAlign w:val="center"/>
          </w:tcPr>
          <w:p>
            <w:pPr>
              <w:snapToGrid w:val="0"/>
              <w:spacing w:line="360" w:lineRule="auto"/>
              <w:rPr>
                <w:rFonts w:ascii="宋体" w:hAnsi="宋体" w:cs="Tahoma"/>
                <w:bCs/>
                <w:kern w:val="0"/>
                <w:szCs w:val="21"/>
              </w:rPr>
            </w:pPr>
            <w:r>
              <w:rPr>
                <w:rFonts w:hint="eastAsia" w:ascii="宋体" w:hAnsi="宋体" w:cs="Tahoma"/>
                <w:bCs/>
                <w:kern w:val="0"/>
                <w:szCs w:val="21"/>
                <w:lang w:val="en-US" w:eastAsia="zh-CN"/>
              </w:rPr>
              <w:t>7</w:t>
            </w:r>
            <w:r>
              <w:rPr>
                <w:rFonts w:ascii="宋体" w:hAnsi="宋体" w:cs="Tahoma"/>
                <w:bCs/>
                <w:kern w:val="0"/>
                <w:szCs w:val="21"/>
              </w:rPr>
              <w:t>0</w:t>
            </w:r>
            <w:r>
              <w:rPr>
                <w:rFonts w:hint="eastAsia" w:ascii="宋体" w:hAnsi="宋体" w:cs="Tahoma"/>
                <w:bCs/>
                <w:kern w:val="0"/>
                <w:szCs w:val="21"/>
              </w:rPr>
              <w:t>交通运输大类</w:t>
            </w:r>
          </w:p>
        </w:tc>
        <w:tc>
          <w:tcPr>
            <w:tcW w:w="639" w:type="pct"/>
            <w:vAlign w:val="center"/>
          </w:tcPr>
          <w:p>
            <w:pPr>
              <w:snapToGrid w:val="0"/>
              <w:spacing w:line="360" w:lineRule="auto"/>
              <w:jc w:val="center"/>
              <w:rPr>
                <w:rFonts w:ascii="宋体" w:hAnsi="宋体" w:cs="Tahoma"/>
                <w:bCs/>
                <w:kern w:val="0"/>
                <w:szCs w:val="21"/>
              </w:rPr>
            </w:pPr>
            <w:r>
              <w:rPr>
                <w:rFonts w:hint="eastAsia" w:ascii="宋体" w:hAnsi="宋体" w:cs="Tahoma"/>
                <w:bCs/>
                <w:kern w:val="0"/>
                <w:szCs w:val="21"/>
                <w:lang w:val="en-US" w:eastAsia="zh-CN"/>
              </w:rPr>
              <w:t>7</w:t>
            </w:r>
            <w:r>
              <w:rPr>
                <w:rFonts w:ascii="宋体" w:hAnsi="宋体" w:cs="Tahoma"/>
                <w:bCs/>
                <w:kern w:val="0"/>
                <w:szCs w:val="21"/>
              </w:rPr>
              <w:t>006</w:t>
            </w:r>
            <w:r>
              <w:rPr>
                <w:rFonts w:hint="eastAsia" w:ascii="宋体" w:hAnsi="宋体" w:cs="Tahoma"/>
                <w:bCs/>
                <w:kern w:val="0"/>
                <w:szCs w:val="21"/>
              </w:rPr>
              <w:t>城市轨道交通类</w:t>
            </w:r>
          </w:p>
        </w:tc>
        <w:tc>
          <w:tcPr>
            <w:tcW w:w="918" w:type="pct"/>
            <w:vAlign w:val="center"/>
          </w:tcPr>
          <w:p>
            <w:pPr>
              <w:snapToGrid w:val="0"/>
              <w:spacing w:line="360" w:lineRule="auto"/>
              <w:rPr>
                <w:rFonts w:ascii="宋体" w:hAnsi="宋体" w:cs="Tahoma"/>
                <w:bCs/>
                <w:kern w:val="0"/>
                <w:szCs w:val="21"/>
              </w:rPr>
            </w:pPr>
            <w:r>
              <w:rPr>
                <w:rFonts w:hint="eastAsia" w:ascii="宋体" w:hAnsi="宋体" w:cs="Tahoma"/>
                <w:bCs/>
                <w:kern w:val="0"/>
                <w:szCs w:val="21"/>
              </w:rPr>
              <w:t>G交通运输、仓储和邮政业/54道路运输业/541城市公共交通运输/ 5412 城市轨道交通</w:t>
            </w:r>
          </w:p>
        </w:tc>
        <w:tc>
          <w:tcPr>
            <w:tcW w:w="814" w:type="pct"/>
            <w:vAlign w:val="center"/>
          </w:tcPr>
          <w:p>
            <w:pPr>
              <w:snapToGrid w:val="0"/>
              <w:spacing w:line="360" w:lineRule="auto"/>
              <w:jc w:val="center"/>
              <w:rPr>
                <w:rFonts w:ascii="宋体" w:hAnsi="宋体" w:cs="Tahoma"/>
                <w:bCs/>
                <w:kern w:val="0"/>
                <w:szCs w:val="21"/>
              </w:rPr>
            </w:pPr>
            <w:r>
              <w:rPr>
                <w:rFonts w:ascii="宋体" w:hAnsi="宋体" w:cs="Tahoma"/>
                <w:bCs/>
                <w:kern w:val="0"/>
                <w:szCs w:val="21"/>
              </w:rPr>
              <w:t>4-02-01-07</w:t>
            </w:r>
            <w:r>
              <w:rPr>
                <w:rFonts w:hint="eastAsia" w:ascii="宋体" w:hAnsi="宋体" w:cs="Tahoma"/>
                <w:bCs/>
                <w:kern w:val="0"/>
                <w:szCs w:val="21"/>
              </w:rPr>
              <w:t>城市轨道交通服务、</w:t>
            </w:r>
            <w:r>
              <w:rPr>
                <w:rFonts w:ascii="宋体" w:hAnsi="宋体" w:cs="Tahoma"/>
                <w:bCs/>
                <w:kern w:val="0"/>
                <w:szCs w:val="21"/>
              </w:rPr>
              <w:t>4-02-01-0</w:t>
            </w:r>
            <w:r>
              <w:rPr>
                <w:rFonts w:hint="eastAsia" w:ascii="宋体" w:hAnsi="宋体" w:cs="Tahoma"/>
                <w:bCs/>
                <w:kern w:val="0"/>
                <w:szCs w:val="21"/>
              </w:rPr>
              <w:t>6轨道交通调度员</w:t>
            </w:r>
          </w:p>
        </w:tc>
        <w:tc>
          <w:tcPr>
            <w:tcW w:w="889" w:type="pct"/>
            <w:vAlign w:val="center"/>
          </w:tcPr>
          <w:p>
            <w:pPr>
              <w:snapToGrid w:val="0"/>
              <w:spacing w:line="360" w:lineRule="auto"/>
              <w:rPr>
                <w:rFonts w:ascii="宋体" w:hAnsi="宋体" w:cs="Tahoma"/>
                <w:bCs/>
                <w:kern w:val="0"/>
                <w:szCs w:val="21"/>
              </w:rPr>
            </w:pPr>
            <w:r>
              <w:rPr>
                <w:rFonts w:hint="eastAsia" w:ascii="宋体" w:hAnsi="宋体" w:cs="Tahoma"/>
                <w:bCs/>
                <w:kern w:val="0"/>
                <w:szCs w:val="21"/>
              </w:rPr>
              <w:t>行车组织、票务组织、客运服务、车站管理、行车调度指挥。</w:t>
            </w:r>
          </w:p>
        </w:tc>
        <w:tc>
          <w:tcPr>
            <w:tcW w:w="1019" w:type="pct"/>
            <w:vAlign w:val="center"/>
          </w:tcPr>
          <w:p>
            <w:pPr>
              <w:snapToGrid w:val="0"/>
              <w:spacing w:line="360" w:lineRule="auto"/>
              <w:jc w:val="center"/>
              <w:rPr>
                <w:rFonts w:ascii="宋体" w:hAnsi="宋体" w:cs="Tahoma"/>
                <w:bCs/>
                <w:kern w:val="0"/>
                <w:szCs w:val="21"/>
              </w:rPr>
            </w:pPr>
            <w:r>
              <w:rPr>
                <w:rFonts w:hint="eastAsia" w:ascii="宋体" w:hAnsi="宋体" w:cs="Tahoma"/>
                <w:bCs/>
                <w:kern w:val="0"/>
                <w:szCs w:val="21"/>
              </w:rPr>
              <w:t>急救员证</w:t>
            </w:r>
          </w:p>
          <w:p>
            <w:pPr>
              <w:snapToGrid w:val="0"/>
              <w:spacing w:line="360" w:lineRule="auto"/>
              <w:jc w:val="center"/>
              <w:rPr>
                <w:rFonts w:ascii="宋体" w:hAnsi="宋体" w:cs="Tahoma"/>
                <w:bCs/>
                <w:kern w:val="0"/>
                <w:szCs w:val="21"/>
              </w:rPr>
            </w:pPr>
            <w:r>
              <w:rPr>
                <w:rFonts w:hint="eastAsia" w:ascii="宋体" w:hAnsi="宋体" w:cs="Tahoma"/>
                <w:bCs/>
                <w:kern w:val="0"/>
                <w:szCs w:val="21"/>
              </w:rPr>
              <w:t>低压电工作业证</w:t>
            </w:r>
          </w:p>
          <w:p>
            <w:pPr>
              <w:snapToGrid w:val="0"/>
              <w:spacing w:line="360" w:lineRule="auto"/>
              <w:jc w:val="center"/>
              <w:rPr>
                <w:rFonts w:ascii="宋体" w:hAnsi="宋体" w:cs="Tahoma"/>
                <w:bCs/>
                <w:kern w:val="0"/>
                <w:szCs w:val="21"/>
              </w:rPr>
            </w:pPr>
            <w:r>
              <w:rPr>
                <w:rFonts w:hint="eastAsia" w:ascii="宋体" w:hAnsi="宋体" w:cs="Tahoma"/>
                <w:bCs/>
                <w:kern w:val="0"/>
                <w:szCs w:val="21"/>
              </w:rPr>
              <w:t>普通话等级证书</w:t>
            </w:r>
          </w:p>
          <w:p>
            <w:pPr>
              <w:snapToGrid w:val="0"/>
              <w:spacing w:line="360" w:lineRule="auto"/>
              <w:jc w:val="center"/>
              <w:rPr>
                <w:rFonts w:ascii="宋体" w:hAnsi="宋体" w:cs="Tahoma"/>
                <w:bCs/>
                <w:kern w:val="0"/>
                <w:szCs w:val="21"/>
              </w:rPr>
            </w:pPr>
            <w:r>
              <w:rPr>
                <w:rFonts w:hint="eastAsia" w:ascii="宋体" w:hAnsi="宋体" w:cs="Tahoma"/>
                <w:bCs/>
                <w:kern w:val="0"/>
                <w:szCs w:val="21"/>
              </w:rPr>
              <w:t>城市轨道交通站务职业技能等级证书</w:t>
            </w:r>
          </w:p>
        </w:tc>
      </w:tr>
    </w:tbl>
    <w:p>
      <w:pPr>
        <w:keepNext/>
        <w:keepLines/>
        <w:numPr>
          <w:ilvl w:val="0"/>
          <w:numId w:val="0"/>
        </w:numPr>
        <w:snapToGrid w:val="0"/>
        <w:spacing w:before="156" w:beforeLines="50" w:after="156" w:afterLines="50" w:line="440" w:lineRule="exact"/>
        <w:outlineLvl w:val="1"/>
        <w:rPr>
          <w:rFonts w:hint="eastAsia" w:ascii="宋体" w:hAnsi="宋体" w:cs="宋体"/>
          <w:b/>
          <w:bCs/>
          <w:kern w:val="44"/>
          <w:sz w:val="28"/>
          <w:szCs w:val="28"/>
        </w:rPr>
      </w:pPr>
      <w:r>
        <w:rPr>
          <w:rFonts w:hint="eastAsia" w:ascii="宋体" w:hAnsi="宋体" w:cs="宋体"/>
          <w:b/>
          <w:bCs/>
          <w:kern w:val="44"/>
          <w:sz w:val="28"/>
          <w:szCs w:val="28"/>
          <w:lang w:val="en-US" w:eastAsia="zh-CN"/>
        </w:rPr>
        <w:t>五、</w:t>
      </w:r>
      <w:r>
        <w:rPr>
          <w:rFonts w:hint="eastAsia" w:ascii="宋体" w:hAnsi="宋体" w:cs="宋体"/>
          <w:b/>
          <w:bCs/>
          <w:kern w:val="44"/>
          <w:sz w:val="28"/>
          <w:szCs w:val="28"/>
        </w:rPr>
        <w:t>培养目标与培养规格</w:t>
      </w:r>
    </w:p>
    <w:p>
      <w:pPr>
        <w:keepNext/>
        <w:keepLines/>
        <w:snapToGrid w:val="0"/>
        <w:spacing w:before="156" w:beforeLines="50" w:after="156" w:afterLines="50" w:line="440" w:lineRule="exact"/>
        <w:ind w:firstLine="419" w:firstLineChars="174"/>
        <w:outlineLvl w:val="2"/>
        <w:rPr>
          <w:rFonts w:hint="eastAsia" w:ascii="宋体" w:hAnsi="宋体" w:cs="宋体"/>
          <w:b/>
          <w:bCs/>
          <w:kern w:val="44"/>
          <w:sz w:val="24"/>
        </w:rPr>
      </w:pPr>
      <w:r>
        <w:rPr>
          <w:rFonts w:hint="eastAsia" w:ascii="宋体" w:hAnsi="宋体" w:cs="宋体"/>
          <w:b/>
          <w:bCs/>
          <w:kern w:val="44"/>
          <w:sz w:val="24"/>
        </w:rPr>
        <w:t>（一）培养目标</w:t>
      </w:r>
    </w:p>
    <w:p>
      <w:pPr>
        <w:spacing w:line="440" w:lineRule="exact"/>
        <w:ind w:firstLine="480" w:firstLineChars="200"/>
        <w:rPr>
          <w:rFonts w:ascii="宋体" w:hAnsi="宋体"/>
          <w:bCs/>
          <w:sz w:val="24"/>
        </w:rPr>
      </w:pPr>
      <w:r>
        <w:rPr>
          <w:rFonts w:hint="eastAsia" w:ascii="宋体" w:hAnsi="宋体"/>
          <w:bCs/>
          <w:sz w:val="24"/>
        </w:rPr>
        <w:t>本专业立足浙江省城市轨道交通建设发展和经济社会发展对专业人才的需求，对接轨道交通产业，依托城市轨道交通运输企业或相关行业，与轨道交通类企业合作，培养坚定的理想信念，德、智、体、美、劳全面发展，具有一定的科学文化水平，良好的人文素养、职业道德和创新意识，精益求精的工匠精神，较强的就业能力和可持续发展的能力。具有站务管理、票务管理、行车指挥、应急处理等岗位职业技术能力和较强的学习能力、适应能力及安全意识，掌握相关规章制度、操作流程及故障应急处理等</w:t>
      </w:r>
      <w:r>
        <w:rPr>
          <w:rFonts w:hint="eastAsia" w:ascii="宋体"/>
          <w:bCs/>
          <w:sz w:val="24"/>
        </w:rPr>
        <w:t>本专业知识和技术技能</w:t>
      </w:r>
      <w:r>
        <w:rPr>
          <w:rFonts w:hint="eastAsia" w:ascii="宋体" w:hAnsi="宋体"/>
          <w:bCs/>
          <w:sz w:val="24"/>
        </w:rPr>
        <w:t>，能够在城市轨道交通运输企业或相关行业管理与服务职业领域从事城市轨道交通</w:t>
      </w:r>
      <w:r>
        <w:rPr>
          <w:rFonts w:hint="eastAsia" w:ascii="宋体"/>
          <w:bCs/>
          <w:sz w:val="24"/>
        </w:rPr>
        <w:t>行车组织、票务组织、客运组织及服务、车站管理</w:t>
      </w:r>
      <w:r>
        <w:rPr>
          <w:rFonts w:hint="eastAsia" w:ascii="宋体" w:hAnsi="宋体"/>
          <w:bCs/>
          <w:sz w:val="24"/>
        </w:rPr>
        <w:t>等岗位工作的高素质技术技能人才。</w:t>
      </w:r>
    </w:p>
    <w:p>
      <w:pPr>
        <w:keepNext/>
        <w:keepLines/>
        <w:snapToGrid w:val="0"/>
        <w:spacing w:before="156" w:beforeLines="50" w:after="156" w:afterLines="50" w:line="440" w:lineRule="exact"/>
        <w:ind w:firstLine="419" w:firstLineChars="174"/>
        <w:outlineLvl w:val="2"/>
        <w:rPr>
          <w:rFonts w:hint="eastAsia" w:ascii="宋体" w:hAnsi="宋体" w:cs="宋体"/>
          <w:b/>
          <w:bCs/>
          <w:kern w:val="44"/>
          <w:sz w:val="24"/>
        </w:rPr>
      </w:pPr>
      <w:r>
        <w:rPr>
          <w:rFonts w:hint="eastAsia" w:ascii="宋体" w:hAnsi="宋体" w:cs="宋体"/>
          <w:b/>
          <w:bCs/>
          <w:kern w:val="44"/>
          <w:sz w:val="24"/>
        </w:rPr>
        <w:t>（二）培养规格</w:t>
      </w:r>
    </w:p>
    <w:p>
      <w:pPr>
        <w:spacing w:line="440" w:lineRule="exact"/>
        <w:ind w:firstLine="480" w:firstLineChars="200"/>
        <w:rPr>
          <w:rFonts w:ascii="宋体" w:hAnsi="宋体"/>
          <w:bCs/>
          <w:sz w:val="24"/>
        </w:rPr>
      </w:pPr>
      <w:r>
        <w:rPr>
          <w:rFonts w:hint="eastAsia" w:ascii="宋体" w:hAnsi="宋体"/>
          <w:bCs/>
          <w:sz w:val="24"/>
        </w:rPr>
        <w:t>本专业学生应掌握城市轨道交通客运组织及客运服务、票务组织、行车组织、车辆调度、运营安全管理等基本知识。</w:t>
      </w:r>
    </w:p>
    <w:tbl>
      <w:tblPr>
        <w:tblStyle w:val="24"/>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55" w:type="dxa"/>
            <w:vMerge w:val="restart"/>
            <w:vAlign w:val="center"/>
          </w:tcPr>
          <w:p>
            <w:pPr>
              <w:widowControl/>
              <w:spacing w:line="440" w:lineRule="exact"/>
              <w:jc w:val="center"/>
              <w:rPr>
                <w:rFonts w:ascii="宋体" w:hAnsi="宋体"/>
                <w:kern w:val="0"/>
                <w:szCs w:val="21"/>
              </w:rPr>
            </w:pPr>
            <w:r>
              <w:rPr>
                <w:rFonts w:hint="eastAsia" w:ascii="宋体" w:hAnsi="宋体"/>
                <w:kern w:val="0"/>
                <w:szCs w:val="21"/>
              </w:rPr>
              <w:t>素质要求</w:t>
            </w:r>
          </w:p>
        </w:tc>
        <w:tc>
          <w:tcPr>
            <w:tcW w:w="8016" w:type="dxa"/>
            <w:vMerge w:val="restart"/>
            <w:vAlign w:val="center"/>
          </w:tcPr>
          <w:p>
            <w:pPr>
              <w:widowControl/>
              <w:spacing w:line="440" w:lineRule="exact"/>
              <w:rPr>
                <w:rFonts w:ascii="宋体" w:hAnsi="宋体"/>
                <w:kern w:val="0"/>
                <w:szCs w:val="21"/>
              </w:rPr>
            </w:pPr>
            <w:r>
              <w:rPr>
                <w:rFonts w:hint="eastAsia" w:ascii="宋体" w:hAnsi="宋体"/>
                <w:kern w:val="0"/>
                <w:szCs w:val="21"/>
              </w:rPr>
              <w:t>（</w:t>
            </w:r>
            <w:r>
              <w:rPr>
                <w:rFonts w:ascii="宋体" w:hAnsi="宋体"/>
                <w:kern w:val="0"/>
                <w:szCs w:val="21"/>
              </w:rPr>
              <w:t>1）坚定拥护中国共产党领导和我国社会主义制度，在习近平新时代中国特色社会主义思想指引下，践行社会主义核心价值观，具有深厚的爱国情感和中华民族自豪感；</w:t>
            </w:r>
          </w:p>
          <w:p>
            <w:pPr>
              <w:widowControl/>
              <w:spacing w:line="440" w:lineRule="exact"/>
              <w:rPr>
                <w:rFonts w:ascii="宋体" w:hAnsi="宋体"/>
                <w:kern w:val="0"/>
                <w:szCs w:val="21"/>
              </w:rPr>
            </w:pPr>
            <w:r>
              <w:rPr>
                <w:rFonts w:hint="eastAsia" w:ascii="宋体" w:hAnsi="宋体"/>
                <w:kern w:val="0"/>
                <w:szCs w:val="21"/>
              </w:rPr>
              <w:t>（</w:t>
            </w:r>
            <w:r>
              <w:rPr>
                <w:rFonts w:ascii="宋体" w:hAnsi="宋体"/>
                <w:kern w:val="0"/>
                <w:szCs w:val="21"/>
              </w:rPr>
              <w:t>2）崇尚宪法、遵法守纪、崇德向善、诚实守信、尊重生命、热爱劳动，履行道德准则和行为规范，具有社会责任感和社会参与意识；</w:t>
            </w:r>
          </w:p>
          <w:p>
            <w:pPr>
              <w:widowControl/>
              <w:spacing w:line="440" w:lineRule="exact"/>
              <w:rPr>
                <w:rFonts w:ascii="宋体" w:hAnsi="宋体"/>
                <w:kern w:val="0"/>
                <w:szCs w:val="21"/>
              </w:rPr>
            </w:pPr>
            <w:r>
              <w:rPr>
                <w:rFonts w:hint="eastAsia" w:ascii="宋体" w:hAnsi="宋体"/>
                <w:kern w:val="0"/>
                <w:szCs w:val="21"/>
              </w:rPr>
              <w:t>（</w:t>
            </w:r>
            <w:r>
              <w:rPr>
                <w:rFonts w:ascii="宋体" w:hAnsi="宋体"/>
                <w:kern w:val="0"/>
                <w:szCs w:val="21"/>
              </w:rPr>
              <w:t>3）具有质量意识、环保意识、安全意识、信息素养、工匠精神、创新思维；</w:t>
            </w:r>
          </w:p>
          <w:p>
            <w:pPr>
              <w:widowControl/>
              <w:spacing w:line="440" w:lineRule="exact"/>
              <w:rPr>
                <w:rFonts w:ascii="宋体" w:hAnsi="宋体"/>
                <w:kern w:val="0"/>
                <w:szCs w:val="21"/>
              </w:rPr>
            </w:pPr>
            <w:r>
              <w:rPr>
                <w:rFonts w:hint="eastAsia" w:ascii="宋体" w:hAnsi="宋体"/>
                <w:kern w:val="0"/>
                <w:szCs w:val="21"/>
              </w:rPr>
              <w:t>（</w:t>
            </w:r>
            <w:r>
              <w:rPr>
                <w:rFonts w:ascii="宋体" w:hAnsi="宋体"/>
                <w:kern w:val="0"/>
                <w:szCs w:val="21"/>
              </w:rPr>
              <w:t>4）勇于奋斗、乐观向上，具有自我管理能力、职业生涯规划的意识，有较强的集体意识和团队合作精神；</w:t>
            </w:r>
          </w:p>
          <w:p>
            <w:pPr>
              <w:widowControl/>
              <w:spacing w:line="440" w:lineRule="exact"/>
              <w:rPr>
                <w:rFonts w:ascii="宋体" w:hAnsi="宋体"/>
                <w:kern w:val="0"/>
                <w:szCs w:val="21"/>
              </w:rPr>
            </w:pPr>
            <w:r>
              <w:rPr>
                <w:rFonts w:hint="eastAsia" w:ascii="宋体" w:hAnsi="宋体"/>
                <w:kern w:val="0"/>
                <w:szCs w:val="21"/>
              </w:rPr>
              <w:t>（</w:t>
            </w:r>
            <w:r>
              <w:rPr>
                <w:rFonts w:ascii="宋体" w:hAnsi="宋体"/>
                <w:kern w:val="0"/>
                <w:szCs w:val="21"/>
              </w:rPr>
              <w:t>5）具有健康的体魄、心理和健全的人格，掌握基本运动知识和一两项运动技能，养成良好的健身与卫生习惯，良好的行为习惯；</w:t>
            </w:r>
          </w:p>
          <w:p>
            <w:pPr>
              <w:snapToGrid w:val="0"/>
              <w:spacing w:line="440" w:lineRule="exact"/>
              <w:rPr>
                <w:rFonts w:ascii="宋体" w:hAnsi="宋体"/>
                <w:kern w:val="0"/>
                <w:szCs w:val="21"/>
              </w:rPr>
            </w:pPr>
            <w:r>
              <w:rPr>
                <w:rFonts w:hint="eastAsia" w:ascii="宋体" w:hAnsi="宋体"/>
                <w:kern w:val="0"/>
                <w:szCs w:val="21"/>
              </w:rPr>
              <w:t>（</w:t>
            </w:r>
            <w:r>
              <w:rPr>
                <w:rFonts w:ascii="宋体" w:hAnsi="宋体"/>
                <w:kern w:val="0"/>
                <w:szCs w:val="21"/>
              </w:rPr>
              <w:t>6）具有一定的审美和人文素养，能够形成一两项艺术特长或爱好。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55" w:type="dxa"/>
            <w:vMerge w:val="continue"/>
            <w:vAlign w:val="center"/>
          </w:tcPr>
          <w:p>
            <w:pPr>
              <w:widowControl/>
              <w:spacing w:line="440" w:lineRule="exact"/>
              <w:jc w:val="left"/>
              <w:rPr>
                <w:rFonts w:ascii="宋体" w:cs="宋体"/>
                <w:kern w:val="0"/>
                <w:szCs w:val="21"/>
              </w:rPr>
            </w:pPr>
          </w:p>
        </w:tc>
        <w:tc>
          <w:tcPr>
            <w:tcW w:w="8016" w:type="dxa"/>
            <w:vMerge w:val="continue"/>
            <w:vAlign w:val="center"/>
          </w:tcPr>
          <w:p>
            <w:pPr>
              <w:widowControl/>
              <w:spacing w:line="440" w:lineRule="exact"/>
              <w:rPr>
                <w:rFonts w:asci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55" w:type="dxa"/>
            <w:vMerge w:val="continue"/>
            <w:vAlign w:val="center"/>
          </w:tcPr>
          <w:p>
            <w:pPr>
              <w:widowControl/>
              <w:spacing w:line="440" w:lineRule="exact"/>
              <w:jc w:val="left"/>
              <w:rPr>
                <w:rFonts w:ascii="宋体" w:cs="宋体"/>
                <w:kern w:val="0"/>
                <w:szCs w:val="21"/>
              </w:rPr>
            </w:pPr>
          </w:p>
        </w:tc>
        <w:tc>
          <w:tcPr>
            <w:tcW w:w="8016" w:type="dxa"/>
            <w:vMerge w:val="continue"/>
            <w:vAlign w:val="center"/>
          </w:tcPr>
          <w:p>
            <w:pPr>
              <w:widowControl/>
              <w:spacing w:line="440" w:lineRule="exact"/>
              <w:rPr>
                <w:rFonts w:asci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exact"/>
          <w:jc w:val="center"/>
        </w:trPr>
        <w:tc>
          <w:tcPr>
            <w:tcW w:w="1555" w:type="dxa"/>
            <w:vMerge w:val="continue"/>
            <w:vAlign w:val="center"/>
          </w:tcPr>
          <w:p>
            <w:pPr>
              <w:widowControl/>
              <w:spacing w:line="440" w:lineRule="exact"/>
              <w:jc w:val="left"/>
              <w:rPr>
                <w:rFonts w:ascii="宋体" w:cs="宋体"/>
                <w:kern w:val="0"/>
                <w:szCs w:val="21"/>
              </w:rPr>
            </w:pPr>
          </w:p>
        </w:tc>
        <w:tc>
          <w:tcPr>
            <w:tcW w:w="8016" w:type="dxa"/>
            <w:vMerge w:val="continue"/>
            <w:vAlign w:val="center"/>
          </w:tcPr>
          <w:p>
            <w:pPr>
              <w:widowControl/>
              <w:spacing w:line="440" w:lineRule="exact"/>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3" w:hRule="atLeast"/>
          <w:jc w:val="center"/>
        </w:trPr>
        <w:tc>
          <w:tcPr>
            <w:tcW w:w="1555" w:type="dxa"/>
            <w:vAlign w:val="center"/>
          </w:tcPr>
          <w:p>
            <w:pPr>
              <w:widowControl/>
              <w:spacing w:line="440" w:lineRule="exact"/>
              <w:jc w:val="center"/>
              <w:rPr>
                <w:rFonts w:ascii="宋体" w:cs="宋体"/>
                <w:kern w:val="0"/>
                <w:szCs w:val="21"/>
              </w:rPr>
            </w:pPr>
            <w:r>
              <w:rPr>
                <w:rFonts w:hint="eastAsia" w:ascii="宋体" w:hAnsi="宋体" w:cs="宋体"/>
                <w:kern w:val="0"/>
                <w:szCs w:val="21"/>
              </w:rPr>
              <w:t>知识要求</w:t>
            </w:r>
          </w:p>
        </w:tc>
        <w:tc>
          <w:tcPr>
            <w:tcW w:w="8016" w:type="dxa"/>
            <w:vAlign w:val="center"/>
          </w:tcPr>
          <w:p>
            <w:pPr>
              <w:widowControl/>
              <w:spacing w:line="440" w:lineRule="exact"/>
              <w:rPr>
                <w:rFonts w:ascii="宋体" w:hAnsi="宋体"/>
                <w:kern w:val="0"/>
                <w:szCs w:val="21"/>
              </w:rPr>
            </w:pPr>
            <w:r>
              <w:rPr>
                <w:rFonts w:hint="eastAsia" w:ascii="宋体" w:hAnsi="宋体"/>
                <w:kern w:val="0"/>
                <w:szCs w:val="21"/>
              </w:rPr>
              <w:t>（</w:t>
            </w:r>
            <w:r>
              <w:rPr>
                <w:rFonts w:ascii="宋体" w:hAnsi="宋体"/>
                <w:kern w:val="0"/>
                <w:szCs w:val="21"/>
              </w:rPr>
              <w:t xml:space="preserve">1）掌握必备的思想政治理论、科学文化基础知识和中华优秀传统文化知识； </w:t>
            </w:r>
          </w:p>
          <w:p>
            <w:pPr>
              <w:widowControl/>
              <w:spacing w:line="440" w:lineRule="exact"/>
              <w:rPr>
                <w:rFonts w:ascii="宋体" w:hAnsi="宋体"/>
                <w:kern w:val="0"/>
                <w:szCs w:val="21"/>
              </w:rPr>
            </w:pPr>
            <w:r>
              <w:rPr>
                <w:rFonts w:hint="eastAsia" w:ascii="宋体" w:hAnsi="宋体"/>
                <w:kern w:val="0"/>
                <w:szCs w:val="21"/>
              </w:rPr>
              <w:t>（</w:t>
            </w:r>
            <w:r>
              <w:rPr>
                <w:rFonts w:ascii="宋体" w:hAnsi="宋体"/>
                <w:kern w:val="0"/>
                <w:szCs w:val="21"/>
              </w:rPr>
              <w:t>2）熟悉与本专业相关的法律法规以及环境保护、安全消防、文明生产等相关知识；</w:t>
            </w:r>
          </w:p>
          <w:p>
            <w:pPr>
              <w:widowControl/>
              <w:spacing w:line="440" w:lineRule="exact"/>
              <w:rPr>
                <w:rFonts w:ascii="宋体"/>
                <w:kern w:val="0"/>
                <w:szCs w:val="21"/>
              </w:rPr>
            </w:pPr>
            <w:r>
              <w:rPr>
                <w:rFonts w:hint="eastAsia" w:ascii="宋体" w:hAnsi="宋体"/>
                <w:kern w:val="0"/>
                <w:szCs w:val="21"/>
              </w:rPr>
              <w:t>（</w:t>
            </w:r>
            <w:r>
              <w:rPr>
                <w:rFonts w:ascii="宋体" w:hAnsi="宋体"/>
                <w:kern w:val="0"/>
                <w:szCs w:val="21"/>
              </w:rPr>
              <w:t>3）掌握城市轨道交通系统的基本理论和专业知识；</w:t>
            </w:r>
          </w:p>
          <w:p>
            <w:pPr>
              <w:snapToGrid w:val="0"/>
              <w:spacing w:line="440" w:lineRule="exact"/>
              <w:rPr>
                <w:rFonts w:ascii="宋体"/>
                <w:kern w:val="0"/>
                <w:szCs w:val="21"/>
              </w:rPr>
            </w:pPr>
            <w:r>
              <w:rPr>
                <w:rFonts w:hint="eastAsia" w:ascii="宋体" w:hAnsi="宋体" w:cs="宋体"/>
                <w:kern w:val="0"/>
                <w:szCs w:val="21"/>
              </w:rPr>
              <w:t>（</w:t>
            </w:r>
            <w:r>
              <w:rPr>
                <w:rFonts w:ascii="宋体" w:hAnsi="宋体" w:cs="宋体"/>
                <w:kern w:val="0"/>
                <w:szCs w:val="21"/>
              </w:rPr>
              <w:t>4）掌握</w:t>
            </w:r>
            <w:r>
              <w:rPr>
                <w:rFonts w:hint="eastAsia" w:ascii="宋体" w:hAnsi="宋体"/>
                <w:kern w:val="0"/>
                <w:szCs w:val="21"/>
              </w:rPr>
              <w:t>城市轨道交通票务管理、客运组织、乘客服务的专业知识；</w:t>
            </w:r>
          </w:p>
          <w:p>
            <w:pPr>
              <w:snapToGrid w:val="0"/>
              <w:spacing w:line="440" w:lineRule="exact"/>
              <w:rPr>
                <w:rFonts w:ascii="宋体" w:hAnsi="宋体"/>
                <w:kern w:val="0"/>
                <w:szCs w:val="21"/>
              </w:rPr>
            </w:pPr>
            <w:r>
              <w:rPr>
                <w:rFonts w:hint="eastAsia" w:ascii="宋体" w:hAnsi="宋体"/>
                <w:kern w:val="0"/>
                <w:szCs w:val="21"/>
              </w:rPr>
              <w:t>（</w:t>
            </w:r>
            <w:r>
              <w:rPr>
                <w:rFonts w:ascii="宋体" w:hAnsi="宋体"/>
                <w:kern w:val="0"/>
                <w:szCs w:val="21"/>
              </w:rPr>
              <w:t>5）掌握城市轨道交通车站及车辆段行车组织、调度指挥的基本理论和方法；</w:t>
            </w:r>
          </w:p>
          <w:p>
            <w:pPr>
              <w:snapToGrid w:val="0"/>
              <w:spacing w:line="440" w:lineRule="exact"/>
              <w:rPr>
                <w:rFonts w:ascii="宋体" w:hAnsi="宋体"/>
                <w:kern w:val="0"/>
                <w:szCs w:val="21"/>
              </w:rPr>
            </w:pPr>
            <w:r>
              <w:rPr>
                <w:rFonts w:hint="eastAsia" w:ascii="宋体" w:hAnsi="宋体"/>
                <w:kern w:val="0"/>
                <w:szCs w:val="21"/>
              </w:rPr>
              <w:t>（</w:t>
            </w:r>
            <w:r>
              <w:rPr>
                <w:rFonts w:ascii="宋体" w:hAnsi="宋体"/>
                <w:kern w:val="0"/>
                <w:szCs w:val="21"/>
              </w:rPr>
              <w:t>6）掌握城市轨道交通车站及车辆段突发事件应急处置的预案及基本处置方法；</w:t>
            </w:r>
          </w:p>
          <w:p>
            <w:pPr>
              <w:snapToGrid w:val="0"/>
              <w:spacing w:line="440" w:lineRule="exact"/>
              <w:rPr>
                <w:rFonts w:ascii="宋体" w:cs="宋体"/>
                <w:kern w:val="0"/>
                <w:szCs w:val="21"/>
              </w:rPr>
            </w:pPr>
            <w:r>
              <w:rPr>
                <w:rFonts w:hint="eastAsia" w:ascii="宋体" w:hAnsi="宋体" w:cs="宋体"/>
                <w:kern w:val="0"/>
                <w:szCs w:val="21"/>
              </w:rPr>
              <w:t>（</w:t>
            </w:r>
            <w:r>
              <w:rPr>
                <w:rFonts w:ascii="宋体" w:hAnsi="宋体" w:cs="宋体"/>
                <w:kern w:val="0"/>
                <w:szCs w:val="21"/>
              </w:rPr>
              <w:t>7）掌握常用服务礼仪与沟通技巧、管理等基本知识；</w:t>
            </w:r>
          </w:p>
          <w:p>
            <w:pPr>
              <w:snapToGrid w:val="0"/>
              <w:spacing w:line="440" w:lineRule="exact"/>
              <w:rPr>
                <w:rFonts w:ascii="宋体" w:cs="宋体"/>
                <w:kern w:val="0"/>
                <w:szCs w:val="21"/>
              </w:rPr>
            </w:pPr>
            <w:r>
              <w:rPr>
                <w:rFonts w:hint="eastAsia" w:ascii="宋体" w:hAnsi="宋体" w:cs="宋体"/>
                <w:kern w:val="0"/>
                <w:szCs w:val="21"/>
              </w:rPr>
              <w:t>（</w:t>
            </w:r>
            <w:r>
              <w:rPr>
                <w:rFonts w:ascii="宋体" w:hAnsi="宋体" w:cs="宋体"/>
                <w:kern w:val="0"/>
                <w:szCs w:val="21"/>
              </w:rPr>
              <w:t>8）掌握日常英语会话以及行业英语表达方式；</w:t>
            </w:r>
          </w:p>
          <w:p>
            <w:pPr>
              <w:widowControl/>
              <w:spacing w:line="440" w:lineRule="exact"/>
              <w:rPr>
                <w:rFonts w:ascii="宋体"/>
                <w:bCs/>
                <w:szCs w:val="21"/>
              </w:rPr>
            </w:pPr>
            <w:r>
              <w:rPr>
                <w:rFonts w:hint="eastAsia" w:ascii="宋体" w:hAnsi="宋体"/>
                <w:bCs/>
                <w:szCs w:val="21"/>
              </w:rPr>
              <w:t>（</w:t>
            </w:r>
            <w:r>
              <w:rPr>
                <w:rFonts w:ascii="宋体" w:hAnsi="宋体"/>
                <w:bCs/>
                <w:szCs w:val="21"/>
              </w:rPr>
              <w:t>9）熟悉电工电子、计算机应用的基本知识及其相关安全知识；</w:t>
            </w:r>
          </w:p>
          <w:p>
            <w:pPr>
              <w:widowControl/>
              <w:spacing w:line="440" w:lineRule="exact"/>
              <w:rPr>
                <w:rFonts w:ascii="宋体" w:cs="宋体"/>
                <w:kern w:val="0"/>
                <w:szCs w:val="21"/>
              </w:rPr>
            </w:pPr>
            <w:r>
              <w:rPr>
                <w:rFonts w:hint="eastAsia" w:ascii="宋体" w:hAnsi="宋体"/>
                <w:bCs/>
                <w:szCs w:val="21"/>
              </w:rPr>
              <w:t>（</w:t>
            </w:r>
            <w:r>
              <w:rPr>
                <w:rFonts w:ascii="宋体" w:hAnsi="宋体"/>
                <w:bCs/>
                <w:szCs w:val="21"/>
              </w:rPr>
              <w:t>10）了解城市轨道交通车站机电类设备的结构及其原理、计算机网络技术的相关知识</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jc w:val="center"/>
        </w:trPr>
        <w:tc>
          <w:tcPr>
            <w:tcW w:w="1555" w:type="dxa"/>
            <w:vAlign w:val="center"/>
          </w:tcPr>
          <w:p>
            <w:pPr>
              <w:widowControl/>
              <w:spacing w:line="440" w:lineRule="exact"/>
              <w:jc w:val="center"/>
              <w:rPr>
                <w:rFonts w:ascii="宋体" w:cs="宋体"/>
                <w:kern w:val="0"/>
                <w:szCs w:val="21"/>
              </w:rPr>
            </w:pPr>
            <w:r>
              <w:rPr>
                <w:rFonts w:hint="eastAsia" w:ascii="宋体" w:hAnsi="宋体" w:cs="宋体"/>
                <w:kern w:val="0"/>
                <w:szCs w:val="21"/>
              </w:rPr>
              <w:t>能力要求</w:t>
            </w:r>
          </w:p>
        </w:tc>
        <w:tc>
          <w:tcPr>
            <w:tcW w:w="8016" w:type="dxa"/>
            <w:vAlign w:val="center"/>
          </w:tcPr>
          <w:p>
            <w:pPr>
              <w:widowControl/>
              <w:spacing w:line="360" w:lineRule="auto"/>
              <w:rPr>
                <w:rFonts w:ascii="宋体" w:hAnsi="宋体" w:cs="宋体"/>
                <w:kern w:val="0"/>
                <w:szCs w:val="21"/>
              </w:rPr>
            </w:pPr>
            <w:r>
              <w:rPr>
                <w:rFonts w:hint="eastAsia" w:ascii="宋体" w:hAnsi="宋体" w:cs="宋体"/>
                <w:kern w:val="0"/>
                <w:szCs w:val="21"/>
              </w:rPr>
              <w:t>（</w:t>
            </w:r>
            <w:r>
              <w:rPr>
                <w:rFonts w:ascii="宋体" w:hAnsi="宋体" w:cs="宋体"/>
                <w:kern w:val="0"/>
                <w:szCs w:val="21"/>
              </w:rPr>
              <w:t>1）具有探究学习、终身学习、分析问题和解决问题的能力；</w:t>
            </w:r>
          </w:p>
          <w:p>
            <w:pPr>
              <w:widowControl/>
              <w:spacing w:line="360" w:lineRule="auto"/>
              <w:rPr>
                <w:rFonts w:ascii="宋体" w:hAnsi="宋体" w:cs="宋体"/>
                <w:kern w:val="0"/>
                <w:szCs w:val="21"/>
              </w:rPr>
            </w:pPr>
            <w:r>
              <w:rPr>
                <w:rFonts w:hint="eastAsia" w:ascii="宋体" w:hAnsi="宋体" w:cs="宋体"/>
                <w:kern w:val="0"/>
                <w:szCs w:val="21"/>
              </w:rPr>
              <w:t>（</w:t>
            </w:r>
            <w:r>
              <w:rPr>
                <w:rFonts w:ascii="宋体" w:hAnsi="宋体" w:cs="宋体"/>
                <w:kern w:val="0"/>
                <w:szCs w:val="21"/>
              </w:rPr>
              <w:t>2）具有良好的语言、文字表达能力和沟通能力；</w:t>
            </w:r>
          </w:p>
          <w:p>
            <w:pPr>
              <w:widowControl/>
              <w:spacing w:line="360" w:lineRule="auto"/>
              <w:rPr>
                <w:rFonts w:ascii="宋体" w:hAnsi="宋体" w:cs="宋体"/>
                <w:kern w:val="0"/>
                <w:szCs w:val="21"/>
              </w:rPr>
            </w:pPr>
            <w:r>
              <w:rPr>
                <w:rFonts w:hint="eastAsia" w:ascii="宋体" w:hAnsi="宋体" w:cs="宋体"/>
                <w:kern w:val="0"/>
                <w:szCs w:val="21"/>
              </w:rPr>
              <w:t>（</w:t>
            </w:r>
            <w:r>
              <w:rPr>
                <w:rFonts w:ascii="宋体" w:hAnsi="宋体" w:cs="宋体"/>
                <w:kern w:val="0"/>
                <w:szCs w:val="21"/>
              </w:rPr>
              <w:t>3）具有本专业必需的信息技术应用和维护能力；</w:t>
            </w:r>
          </w:p>
          <w:p>
            <w:pPr>
              <w:widowControl/>
              <w:spacing w:line="360" w:lineRule="auto"/>
              <w:rPr>
                <w:rFonts w:ascii="宋体" w:hAnsi="宋体"/>
                <w:kern w:val="0"/>
                <w:szCs w:val="21"/>
              </w:rPr>
            </w:pPr>
            <w:r>
              <w:rPr>
                <w:rFonts w:hint="eastAsia" w:ascii="宋体" w:hAnsi="宋体"/>
                <w:kern w:val="0"/>
                <w:szCs w:val="21"/>
              </w:rPr>
              <w:t>（</w:t>
            </w:r>
            <w:r>
              <w:rPr>
                <w:rFonts w:ascii="宋体" w:hAnsi="宋体"/>
                <w:kern w:val="0"/>
                <w:szCs w:val="21"/>
              </w:rPr>
              <w:t>4）具有城市轨道交通车站运营设备的识别、操作运用和监控能力，能够对自动售检票、站台门、火灾自动报警、环境与设备监控、电扶梯等系统及设备进行监视、操作及故障处理能力；</w:t>
            </w:r>
          </w:p>
          <w:p>
            <w:pPr>
              <w:widowControl/>
              <w:spacing w:line="44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5）具有城市轨道交通车站票务处理能力，能够正确使用自动售检票系统，办理售票、监票、补票、退票、发卡、充值、退卡等作业；</w:t>
            </w:r>
          </w:p>
          <w:p>
            <w:pPr>
              <w:widowControl/>
              <w:spacing w:line="44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6）具有城市轨道交通车站客运组织、客运服务及事务处理能力，能够组织开展车站日常运作、客流组织疏导、客流调查与预测、车站客流组织方案编制与分析、乘客服务、乘客投诉与纠纷处理、站容环境保持等工作；</w:t>
            </w:r>
          </w:p>
          <w:p>
            <w:pPr>
              <w:widowControl/>
              <w:spacing w:line="44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7）具有城市轨道交通车站及车辆段行车组织、施工协调处理能力，能够组织开展控制台监视与操作、接发列车、施工行车组织等工作；</w:t>
            </w:r>
          </w:p>
          <w:p>
            <w:pPr>
              <w:widowControl/>
              <w:spacing w:line="44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8）具有城市轨道交通车站及车辆段突发事件应急处置能力；</w:t>
            </w:r>
          </w:p>
          <w:p>
            <w:pPr>
              <w:widowControl/>
              <w:spacing w:line="440" w:lineRule="exact"/>
              <w:rPr>
                <w:rFonts w:ascii="宋体" w:hAnsi="宋体" w:cs="宋体"/>
                <w:kern w:val="0"/>
                <w:szCs w:val="21"/>
              </w:rPr>
            </w:pPr>
            <w:r>
              <w:rPr>
                <w:rFonts w:hint="eastAsia" w:ascii="宋体" w:hAnsi="宋体"/>
                <w:kern w:val="0"/>
                <w:szCs w:val="21"/>
              </w:rPr>
              <w:t>（</w:t>
            </w:r>
            <w:r>
              <w:rPr>
                <w:rFonts w:ascii="宋体" w:hAnsi="宋体"/>
                <w:kern w:val="0"/>
                <w:szCs w:val="21"/>
              </w:rPr>
              <w:t>9）</w:t>
            </w:r>
            <w:r>
              <w:rPr>
                <w:rFonts w:hint="eastAsia" w:ascii="宋体" w:hAnsi="宋体" w:cs="宋体"/>
                <w:kern w:val="0"/>
                <w:szCs w:val="21"/>
              </w:rPr>
              <w:t>具有较强的安全意识和安全组织防护能力；</w:t>
            </w:r>
          </w:p>
          <w:p>
            <w:pPr>
              <w:widowControl/>
              <w:spacing w:line="440" w:lineRule="exact"/>
              <w:rPr>
                <w:rFonts w:ascii="宋体" w:hAnsi="宋体" w:cs="宋体"/>
                <w:kern w:val="0"/>
                <w:szCs w:val="21"/>
              </w:rPr>
            </w:pPr>
            <w:r>
              <w:rPr>
                <w:rFonts w:hint="eastAsia" w:ascii="宋体" w:hAnsi="宋体" w:cs="宋体"/>
                <w:kern w:val="0"/>
                <w:szCs w:val="21"/>
              </w:rPr>
              <w:t>（</w:t>
            </w:r>
            <w:r>
              <w:rPr>
                <w:rFonts w:ascii="宋体" w:hAnsi="宋体" w:cs="宋体"/>
                <w:kern w:val="0"/>
                <w:szCs w:val="21"/>
              </w:rPr>
              <w:t>10）具备一定的英语交流能力。</w:t>
            </w:r>
          </w:p>
        </w:tc>
      </w:tr>
    </w:tbl>
    <w:p>
      <w:pPr>
        <w:bidi w:val="0"/>
        <w:rPr>
          <w:rFonts w:hint="eastAsia"/>
        </w:rPr>
      </w:pPr>
    </w:p>
    <w:p>
      <w:pPr>
        <w:keepNext/>
        <w:keepLines/>
        <w:snapToGrid w:val="0"/>
        <w:spacing w:before="156" w:beforeLines="50" w:after="156" w:afterLines="50" w:line="440" w:lineRule="exact"/>
        <w:outlineLvl w:val="1"/>
        <w:rPr>
          <w:rFonts w:ascii="宋体" w:hAnsi="宋体" w:cs="宋体"/>
          <w:b/>
          <w:bCs/>
          <w:kern w:val="44"/>
          <w:sz w:val="28"/>
          <w:szCs w:val="28"/>
        </w:rPr>
      </w:pPr>
      <w:r>
        <w:rPr>
          <w:rFonts w:hint="eastAsia" w:ascii="宋体" w:hAnsi="宋体" w:cs="宋体"/>
          <w:b/>
          <w:bCs/>
          <w:kern w:val="44"/>
          <w:sz w:val="28"/>
          <w:szCs w:val="28"/>
        </w:rPr>
        <w:t>六、人才培养模式与课程体系</w:t>
      </w:r>
    </w:p>
    <w:p>
      <w:pPr>
        <w:keepNext/>
        <w:keepLines/>
        <w:snapToGrid w:val="0"/>
        <w:spacing w:before="156" w:beforeLines="50" w:after="156" w:afterLines="50" w:line="440" w:lineRule="exact"/>
        <w:outlineLvl w:val="2"/>
        <w:rPr>
          <w:rFonts w:ascii="宋体" w:cs="宋体"/>
          <w:b/>
          <w:bCs/>
          <w:kern w:val="44"/>
          <w:sz w:val="24"/>
        </w:rPr>
      </w:pPr>
      <w:r>
        <w:rPr>
          <w:rFonts w:hint="eastAsia" w:ascii="宋体" w:hAnsi="宋体" w:cs="宋体"/>
          <w:b/>
          <w:bCs/>
          <w:kern w:val="44"/>
          <w:sz w:val="24"/>
        </w:rPr>
        <w:t>（一）人才培养模式</w:t>
      </w:r>
    </w:p>
    <w:p>
      <w:pPr>
        <w:snapToGrid w:val="0"/>
        <w:spacing w:line="360" w:lineRule="auto"/>
        <w:ind w:left="-4" w:leftChars="-2" w:firstLine="480" w:firstLineChars="200"/>
        <w:rPr>
          <w:sz w:val="24"/>
        </w:rPr>
      </w:pPr>
      <w:r>
        <w:rPr>
          <w:rFonts w:hint="eastAsia"/>
          <w:sz w:val="24"/>
        </w:rPr>
        <w:t>专业采取校企融合、工学结合、订单培养的人才培养模式。以行业需求为导向，专业定位与轨道交通发展紧密结合，推动校企合作，探索校企双赢的合作模式。课程建设依据企业用人标准，教学模式突出理论学习与顶岗实践深度融合，教学过程注重教学内容与企业工作任务有机结合，突出岗位能力培养，构建工学结合的课程体系。结合订单培养模式，将学校教学与企业实践有机融合，利用信息化教学手段，提升课堂教学品质，加强复合型人才的培养，为专业中学习能力及主动性强、有追求有目标的学生搭建创新学习平台，采用导师制，通过参与教师横向课题、各类学科竞赛、综合素质项目及创新创业项目等，培养创新设计及开发能力，开展“以学生为中心”的分层分类式项目化教学，共同培养具有创新和实践精神的高素质技术技能人才。</w:t>
      </w:r>
    </w:p>
    <w:p>
      <w:pPr>
        <w:snapToGrid w:val="0"/>
        <w:spacing w:line="360" w:lineRule="auto"/>
        <w:ind w:firstLine="480" w:firstLineChars="200"/>
        <w:rPr>
          <w:sz w:val="24"/>
        </w:rPr>
      </w:pPr>
      <w:r>
        <w:rPr>
          <w:rFonts w:hint="eastAsia"/>
          <w:sz w:val="24"/>
        </w:rPr>
        <w:t>第一阶段：通过对接轨道交通行业，尤其与本专业合作开展的各地区地铁公司订单培养要求，学生完成校内理论课程和实训课程的学习。理论课程达到知识必需、够用、面宽，实训课程重视基本操作技能，融“学、导、训、产、研”为一体，达到操作规范、熟练、与岗位零距离对接，考取相关的职业技能证书。</w:t>
      </w:r>
    </w:p>
    <w:p>
      <w:pPr>
        <w:snapToGrid w:val="0"/>
        <w:spacing w:line="360" w:lineRule="auto"/>
        <w:ind w:firstLine="480" w:firstLineChars="200"/>
        <w:rPr>
          <w:rFonts w:hint="eastAsia"/>
          <w:sz w:val="24"/>
        </w:rPr>
      </w:pPr>
      <w:r>
        <w:rPr>
          <w:rFonts w:hint="eastAsia"/>
          <w:sz w:val="24"/>
        </w:rPr>
        <w:t>第二阶段：依据产教融合和现代学徒制背景下的职业教育特点，专业学生到各地铁公司或相关企业一线顶岗实习，完成顶岗实习和就业，全面提高综合职业技术应用能力和职业综合素质。</w:t>
      </w:r>
    </w:p>
    <w:p>
      <w:pPr>
        <w:snapToGrid w:val="0"/>
        <w:spacing w:line="360" w:lineRule="auto"/>
        <w:ind w:firstLine="480" w:firstLineChars="200"/>
        <w:rPr>
          <w:rFonts w:hint="eastAsia"/>
          <w:sz w:val="24"/>
        </w:rPr>
      </w:pPr>
    </w:p>
    <w:p>
      <w:pPr>
        <w:keepNext/>
        <w:keepLines/>
        <w:snapToGrid w:val="0"/>
        <w:spacing w:line="360" w:lineRule="auto"/>
        <w:outlineLvl w:val="2"/>
        <w:rPr>
          <w:rFonts w:ascii="宋体" w:hAnsi="宋体" w:cs="宋体"/>
          <w:b/>
          <w:bCs/>
          <w:kern w:val="44"/>
          <w:sz w:val="24"/>
        </w:rPr>
      </w:pPr>
      <w:r>
        <w:rPr>
          <w:rFonts w:hint="eastAsia" w:ascii="宋体" w:hAnsi="宋体" w:cs="宋体"/>
          <w:b/>
          <w:bCs/>
          <w:kern w:val="44"/>
          <w:sz w:val="24"/>
        </w:rPr>
        <w:t>（二）课程体系</w:t>
      </w:r>
    </w:p>
    <w:p>
      <w:pPr>
        <w:keepNext/>
        <w:keepLines/>
        <w:snapToGrid w:val="0"/>
        <w:spacing w:line="360" w:lineRule="auto"/>
        <w:outlineLvl w:val="2"/>
        <w:rPr>
          <w:rFonts w:ascii="宋体" w:hAnsi="宋体" w:cs="宋体"/>
          <w:b/>
          <w:bCs/>
          <w:kern w:val="44"/>
          <w:sz w:val="24"/>
        </w:rPr>
      </w:pPr>
      <w:r>
        <w:rPr>
          <w:rFonts w:hint="eastAsia" w:ascii="宋体" w:cs="宋体"/>
          <w:b/>
          <w:bCs/>
          <w:kern w:val="44"/>
          <w:sz w:val="24"/>
        </w:rPr>
        <w:t>1.课程体系结构图</w:t>
      </w:r>
    </w:p>
    <w:p>
      <w:pPr>
        <w:snapToGrid w:val="0"/>
        <w:spacing w:line="360" w:lineRule="auto"/>
        <w:ind w:left="-4" w:leftChars="-2" w:firstLine="600" w:firstLineChars="250"/>
        <w:rPr>
          <w:color w:val="000000"/>
          <w:sz w:val="24"/>
        </w:rPr>
      </w:pPr>
      <w:r>
        <w:rPr>
          <w:rFonts w:hint="eastAsia"/>
          <w:color w:val="000000"/>
          <w:sz w:val="24"/>
        </w:rPr>
        <w:t>根据岗位工作任务与职业能力分析结果，考虑国家教育政策、教育教学规律和学生认知发展规律，构建了如图</w:t>
      </w:r>
      <w:r>
        <w:rPr>
          <w:color w:val="000000"/>
          <w:sz w:val="24"/>
        </w:rPr>
        <w:t>1</w:t>
      </w:r>
      <w:r>
        <w:rPr>
          <w:rFonts w:hint="eastAsia"/>
          <w:color w:val="000000"/>
          <w:sz w:val="24"/>
        </w:rPr>
        <w:t>所示的课程体系</w:t>
      </w:r>
      <w:r>
        <w:rPr>
          <w:rFonts w:hint="eastAsia"/>
          <w:sz w:val="24"/>
        </w:rPr>
        <w:t>结构图。</w:t>
      </w:r>
    </w:p>
    <w:p>
      <w:pPr>
        <w:snapToGrid w:val="0"/>
        <w:spacing w:line="360" w:lineRule="auto"/>
        <w:ind w:left="-4" w:leftChars="-2" w:firstLine="480" w:firstLineChars="200"/>
        <w:jc w:val="left"/>
        <w:rPr>
          <w:rFonts w:ascii="宋体" w:hAnsi="宋体"/>
          <w:bCs/>
          <w:color w:val="000000"/>
          <w:sz w:val="24"/>
        </w:rPr>
      </w:pPr>
      <w:r>
        <w:rPr>
          <w:rFonts w:hint="eastAsia" w:ascii="宋体" w:hAnsi="宋体"/>
          <w:bCs/>
          <w:color w:val="000000"/>
          <w:sz w:val="24"/>
        </w:rPr>
        <w:t>本课程体系由公共基础课程、专业</w:t>
      </w:r>
      <w:r>
        <w:rPr>
          <w:rFonts w:hint="eastAsia" w:ascii="宋体" w:hAnsi="宋体"/>
          <w:bCs/>
          <w:color w:val="000000"/>
          <w:sz w:val="24"/>
          <w:lang w:val="en-US" w:eastAsia="zh-CN"/>
        </w:rPr>
        <w:t>融通</w:t>
      </w:r>
      <w:r>
        <w:rPr>
          <w:rFonts w:hint="eastAsia" w:ascii="宋体" w:hAnsi="宋体"/>
          <w:bCs/>
          <w:color w:val="000000"/>
          <w:sz w:val="24"/>
        </w:rPr>
        <w:t>课程、专业</w:t>
      </w:r>
      <w:r>
        <w:rPr>
          <w:rFonts w:hint="eastAsia" w:ascii="宋体" w:hAnsi="宋体"/>
          <w:bCs/>
          <w:color w:val="000000"/>
          <w:sz w:val="24"/>
          <w:lang w:val="en-US" w:eastAsia="zh-CN"/>
        </w:rPr>
        <w:t>核心课程、专业拓展课程</w:t>
      </w:r>
      <w:r>
        <w:rPr>
          <w:rFonts w:hint="eastAsia" w:ascii="宋体" w:hAnsi="宋体"/>
          <w:bCs/>
          <w:color w:val="000000"/>
          <w:sz w:val="24"/>
        </w:rPr>
        <w:t>构成。公共</w:t>
      </w:r>
      <w:r>
        <w:rPr>
          <w:rFonts w:hint="eastAsia" w:ascii="宋体" w:hAnsi="宋体"/>
          <w:bCs/>
          <w:color w:val="000000"/>
          <w:sz w:val="24"/>
          <w:lang w:val="en-US" w:eastAsia="zh-CN"/>
        </w:rPr>
        <w:t>基础</w:t>
      </w:r>
      <w:r>
        <w:rPr>
          <w:rFonts w:hint="eastAsia" w:ascii="宋体" w:hAnsi="宋体"/>
          <w:bCs/>
          <w:color w:val="000000"/>
          <w:sz w:val="24"/>
        </w:rPr>
        <w:t>课程和专业</w:t>
      </w:r>
      <w:r>
        <w:rPr>
          <w:rFonts w:hint="eastAsia" w:ascii="宋体" w:hAnsi="宋体"/>
          <w:bCs/>
          <w:color w:val="000000"/>
          <w:sz w:val="24"/>
          <w:lang w:val="en-US" w:eastAsia="zh-CN"/>
        </w:rPr>
        <w:t>融通</w:t>
      </w:r>
      <w:r>
        <w:rPr>
          <w:rFonts w:hint="eastAsia" w:ascii="宋体" w:hAnsi="宋体"/>
          <w:bCs/>
          <w:color w:val="000000"/>
          <w:sz w:val="24"/>
        </w:rPr>
        <w:t>课程为学生奠定坚实的专业基础平台，为后续专业</w:t>
      </w:r>
      <w:r>
        <w:rPr>
          <w:rFonts w:hint="eastAsia" w:ascii="宋体" w:hAnsi="宋体"/>
          <w:bCs/>
          <w:color w:val="000000"/>
          <w:sz w:val="24"/>
          <w:lang w:val="en-US" w:eastAsia="zh-CN"/>
        </w:rPr>
        <w:t>核心</w:t>
      </w:r>
      <w:r>
        <w:rPr>
          <w:rFonts w:hint="eastAsia" w:ascii="宋体" w:hAnsi="宋体"/>
          <w:bCs/>
          <w:color w:val="000000"/>
          <w:sz w:val="24"/>
        </w:rPr>
        <w:t>课程、专业</w:t>
      </w:r>
      <w:r>
        <w:rPr>
          <w:rFonts w:hint="eastAsia" w:ascii="宋体" w:hAnsi="宋体"/>
          <w:bCs/>
          <w:color w:val="000000"/>
          <w:sz w:val="24"/>
          <w:lang w:val="en-US" w:eastAsia="zh-CN"/>
        </w:rPr>
        <w:t>拓展</w:t>
      </w:r>
      <w:r>
        <w:rPr>
          <w:rFonts w:hint="eastAsia" w:ascii="宋体" w:hAnsi="宋体"/>
          <w:bCs/>
          <w:color w:val="000000"/>
          <w:sz w:val="24"/>
        </w:rPr>
        <w:t>课程奠基</w:t>
      </w:r>
      <w:r>
        <w:rPr>
          <w:rFonts w:hint="eastAsia" w:ascii="宋体" w:hAnsi="宋体"/>
          <w:bCs/>
          <w:color w:val="000000"/>
          <w:sz w:val="24"/>
          <w:lang w:val="en-US" w:eastAsia="zh-CN"/>
        </w:rPr>
        <w:t>学习基础</w:t>
      </w:r>
      <w:r>
        <w:rPr>
          <w:rFonts w:hint="eastAsia" w:ascii="宋体" w:hAnsi="宋体"/>
          <w:bCs/>
          <w:color w:val="000000"/>
          <w:sz w:val="24"/>
        </w:rPr>
        <w:t>，也为学生的可持续发展打下良好基础。专业</w:t>
      </w:r>
      <w:r>
        <w:rPr>
          <w:rFonts w:hint="eastAsia" w:ascii="宋体" w:hAnsi="宋体"/>
          <w:bCs/>
          <w:color w:val="000000"/>
          <w:sz w:val="24"/>
          <w:lang w:val="en-US" w:eastAsia="zh-CN"/>
        </w:rPr>
        <w:t>核心</w:t>
      </w:r>
      <w:r>
        <w:rPr>
          <w:rFonts w:hint="eastAsia" w:ascii="宋体" w:hAnsi="宋体"/>
          <w:bCs/>
          <w:color w:val="000000"/>
          <w:sz w:val="24"/>
        </w:rPr>
        <w:t>课程为满足学生</w:t>
      </w:r>
      <w:r>
        <w:rPr>
          <w:rFonts w:hint="eastAsia" w:ascii="宋体" w:hAnsi="宋体"/>
          <w:bCs/>
          <w:color w:val="000000"/>
          <w:sz w:val="24"/>
          <w:lang w:val="en-US" w:eastAsia="zh-CN"/>
        </w:rPr>
        <w:t>将来</w:t>
      </w:r>
      <w:r>
        <w:rPr>
          <w:rFonts w:hint="eastAsia" w:ascii="宋体" w:hAnsi="宋体"/>
          <w:bCs/>
          <w:color w:val="000000"/>
          <w:sz w:val="24"/>
        </w:rPr>
        <w:t>就业岗位的需要，提升学生岗位技能和职业素养。专业</w:t>
      </w:r>
      <w:r>
        <w:rPr>
          <w:rFonts w:hint="eastAsia" w:ascii="宋体" w:hAnsi="宋体"/>
          <w:bCs/>
          <w:color w:val="000000"/>
          <w:sz w:val="24"/>
          <w:lang w:val="en-US" w:eastAsia="zh-CN"/>
        </w:rPr>
        <w:t>拓展</w:t>
      </w:r>
      <w:r>
        <w:rPr>
          <w:rFonts w:hint="eastAsia" w:ascii="宋体" w:hAnsi="宋体"/>
          <w:bCs/>
          <w:color w:val="000000"/>
          <w:sz w:val="24"/>
        </w:rPr>
        <w:t>课程为丰富学生职业技能，拓展</w:t>
      </w:r>
      <w:r>
        <w:rPr>
          <w:rFonts w:hint="eastAsia" w:ascii="宋体" w:hAnsi="宋体"/>
          <w:bCs/>
          <w:color w:val="000000"/>
          <w:sz w:val="24"/>
          <w:lang w:val="en-US" w:eastAsia="zh-CN"/>
        </w:rPr>
        <w:t>岗位广度</w:t>
      </w:r>
      <w:r>
        <w:rPr>
          <w:rFonts w:hint="eastAsia" w:ascii="宋体" w:hAnsi="宋体"/>
          <w:bCs/>
          <w:color w:val="000000"/>
          <w:sz w:val="24"/>
        </w:rPr>
        <w:t>而开设。</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color w:val="000000"/>
          <w:szCs w:val="21"/>
        </w:rPr>
      </w:pPr>
      <w:r>
        <w:pict>
          <v:shape id="_x0000_i1025" o:spt="75" type="#_x0000_t75" style="height:156.5pt;width:503.4pt;" filled="f" o:preferrelative="t" stroked="f" coordsize="21600,21600">
            <v:path/>
            <v:fill on="f" focussize="0,0"/>
            <v:stroke on="f"/>
            <v:imagedata r:id="rId5" o:title=""/>
            <o:lock v:ext="edit" aspectratio="t"/>
            <w10:wrap type="none"/>
            <w10:anchorlock/>
          </v:shape>
        </w:pic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color w:val="000000"/>
          <w:szCs w:val="21"/>
        </w:rPr>
      </w:pPr>
      <w:r>
        <w:rPr>
          <w:rFonts w:hint="eastAsia" w:ascii="宋体" w:hAnsi="宋体"/>
          <w:b/>
          <w:color w:val="000000"/>
          <w:szCs w:val="21"/>
        </w:rPr>
        <w:t>图</w:t>
      </w:r>
      <w:r>
        <w:rPr>
          <w:rFonts w:ascii="宋体" w:hAnsi="宋体"/>
          <w:b/>
          <w:color w:val="000000"/>
          <w:szCs w:val="21"/>
        </w:rPr>
        <w:t xml:space="preserve">1 </w:t>
      </w:r>
      <w:r>
        <w:rPr>
          <w:rFonts w:hint="eastAsia" w:ascii="宋体" w:hAnsi="宋体"/>
          <w:b/>
          <w:color w:val="000000"/>
          <w:szCs w:val="21"/>
        </w:rPr>
        <w:t xml:space="preserve"> 课程体系结构图</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color w:val="000000"/>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color w:val="000000"/>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color w:val="000000"/>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color w:val="000000"/>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color w:val="000000"/>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color w:val="000000"/>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color w:val="000000"/>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color w:val="000000"/>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color w:val="000000"/>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color w:val="000000"/>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color w:val="000000"/>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color w:val="000000"/>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color w:val="000000"/>
          <w:szCs w:val="21"/>
        </w:rPr>
      </w:pPr>
    </w:p>
    <w:p>
      <w:pPr>
        <w:pStyle w:val="39"/>
        <w:snapToGrid w:val="0"/>
        <w:spacing w:before="0" w:after="0" w:line="360" w:lineRule="auto"/>
        <w:jc w:val="both"/>
        <w:outlineLvl w:val="2"/>
        <w:rPr>
          <w:rFonts w:ascii="宋体"/>
          <w:sz w:val="24"/>
          <w:szCs w:val="24"/>
        </w:rPr>
      </w:pPr>
      <w:r>
        <w:rPr>
          <w:rFonts w:hint="eastAsia" w:ascii="宋体"/>
          <w:sz w:val="24"/>
          <w:szCs w:val="24"/>
        </w:rPr>
        <w:t>2.公共基础课程</w:t>
      </w:r>
    </w:p>
    <w:tbl>
      <w:tblPr>
        <w:tblStyle w:val="24"/>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84"/>
        <w:gridCol w:w="3316"/>
        <w:gridCol w:w="2957"/>
        <w:gridCol w:w="871"/>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35" w:type="pct"/>
            <w:shd w:val="clear" w:color="auto" w:fill="F1F1F1" w:themeFill="background1" w:themeFillShade="F2"/>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b/>
                <w:bCs/>
                <w:kern w:val="0"/>
                <w:sz w:val="20"/>
                <w:szCs w:val="20"/>
              </w:rPr>
            </w:pPr>
            <w:r>
              <w:rPr>
                <w:rFonts w:hint="eastAsia" w:ascii="宋体" w:hAnsi="宋体"/>
                <w:b/>
                <w:bCs/>
                <w:kern w:val="0"/>
                <w:sz w:val="20"/>
                <w:szCs w:val="20"/>
              </w:rPr>
              <w:t>课程性质</w:t>
            </w:r>
          </w:p>
        </w:tc>
        <w:tc>
          <w:tcPr>
            <w:tcW w:w="659" w:type="pct"/>
            <w:shd w:val="clear" w:color="auto" w:fill="F1F1F1" w:themeFill="background1" w:themeFillShade="F2"/>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b/>
                <w:bCs/>
                <w:kern w:val="0"/>
                <w:sz w:val="20"/>
                <w:szCs w:val="20"/>
              </w:rPr>
            </w:pPr>
            <w:r>
              <w:rPr>
                <w:rFonts w:hint="eastAsia" w:ascii="宋体" w:hAnsi="宋体"/>
                <w:b/>
                <w:bCs/>
                <w:kern w:val="0"/>
                <w:sz w:val="20"/>
                <w:szCs w:val="20"/>
              </w:rPr>
              <w:t>课程名称</w:t>
            </w:r>
          </w:p>
        </w:tc>
        <w:tc>
          <w:tcPr>
            <w:tcW w:w="1702" w:type="pct"/>
            <w:shd w:val="clear" w:color="auto" w:fill="F1F1F1" w:themeFill="background1" w:themeFillShade="F2"/>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b/>
                <w:bCs/>
                <w:kern w:val="0"/>
                <w:sz w:val="20"/>
                <w:szCs w:val="20"/>
              </w:rPr>
            </w:pPr>
            <w:r>
              <w:rPr>
                <w:rFonts w:hint="eastAsia" w:ascii="宋体" w:hAnsi="宋体"/>
                <w:b/>
                <w:bCs/>
                <w:kern w:val="0"/>
                <w:sz w:val="20"/>
                <w:szCs w:val="20"/>
              </w:rPr>
              <w:t>课程目标</w:t>
            </w:r>
          </w:p>
        </w:tc>
        <w:tc>
          <w:tcPr>
            <w:tcW w:w="1518" w:type="pct"/>
            <w:shd w:val="clear" w:color="auto" w:fill="F1F1F1" w:themeFill="background1" w:themeFillShade="F2"/>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b/>
                <w:bCs/>
                <w:kern w:val="0"/>
                <w:sz w:val="20"/>
                <w:szCs w:val="20"/>
              </w:rPr>
            </w:pPr>
            <w:r>
              <w:rPr>
                <w:rFonts w:hint="eastAsia" w:ascii="宋体" w:hAnsi="宋体"/>
                <w:b/>
                <w:bCs/>
                <w:kern w:val="0"/>
                <w:sz w:val="20"/>
                <w:szCs w:val="20"/>
              </w:rPr>
              <w:t>主要教学内容与要求</w:t>
            </w:r>
          </w:p>
        </w:tc>
        <w:tc>
          <w:tcPr>
            <w:tcW w:w="447" w:type="pct"/>
            <w:shd w:val="clear" w:color="auto" w:fill="F1F1F1" w:themeFill="background1" w:themeFillShade="F2"/>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b/>
                <w:bCs/>
                <w:kern w:val="0"/>
                <w:sz w:val="20"/>
                <w:szCs w:val="20"/>
              </w:rPr>
            </w:pPr>
            <w:r>
              <w:rPr>
                <w:rFonts w:hint="eastAsia" w:ascii="宋体" w:hAnsi="宋体"/>
                <w:b/>
                <w:bCs/>
                <w:kern w:val="0"/>
                <w:sz w:val="20"/>
                <w:szCs w:val="20"/>
              </w:rPr>
              <w:t>学分/学时</w:t>
            </w:r>
          </w:p>
        </w:tc>
        <w:tc>
          <w:tcPr>
            <w:tcW w:w="336" w:type="pct"/>
            <w:shd w:val="clear" w:color="auto" w:fill="F1F1F1" w:themeFill="background1" w:themeFillShade="F2"/>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b/>
                <w:bCs/>
                <w:kern w:val="0"/>
                <w:sz w:val="20"/>
                <w:szCs w:val="20"/>
              </w:rPr>
            </w:pPr>
            <w:r>
              <w:rPr>
                <w:rFonts w:hint="eastAsia" w:ascii="宋体" w:hAnsi="宋体"/>
                <w:b/>
                <w:bCs/>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335" w:type="pct"/>
            <w:vMerge w:val="restar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r>
              <w:rPr>
                <w:rFonts w:hint="eastAsia" w:ascii="宋体" w:hAnsi="宋体"/>
                <w:kern w:val="0"/>
                <w:sz w:val="20"/>
                <w:szCs w:val="20"/>
              </w:rPr>
              <w:t>必修</w:t>
            </w:r>
          </w:p>
        </w:tc>
        <w:tc>
          <w:tcPr>
            <w:tcW w:w="659"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sz w:val="20"/>
                <w:szCs w:val="20"/>
              </w:rPr>
            </w:pPr>
            <w:r>
              <w:rPr>
                <w:rFonts w:hint="eastAsia" w:ascii="宋体"/>
                <w:sz w:val="20"/>
                <w:szCs w:val="20"/>
              </w:rPr>
              <w:t>语文</w:t>
            </w:r>
          </w:p>
        </w:tc>
        <w:tc>
          <w:tcPr>
            <w:tcW w:w="1702"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知识目标：</w:t>
            </w:r>
            <w:r>
              <w:rPr>
                <w:rFonts w:hint="eastAsia" w:ascii="宋体" w:hAnsi="宋体" w:cs="宋体"/>
                <w:color w:val="1E1E1E"/>
                <w:sz w:val="20"/>
                <w:szCs w:val="20"/>
                <w:shd w:val="clear" w:color="auto" w:fill="FFFFFF"/>
              </w:rPr>
              <w:t>了解学习各类文史知识，把握文章写作要领，掌握语言表达技巧，阅读古今名家名篇，扩大阅读面。</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能力目标：</w:t>
            </w:r>
            <w:r>
              <w:rPr>
                <w:rFonts w:hint="eastAsia" w:ascii="宋体" w:hAnsi="宋体" w:cs="宋体"/>
                <w:color w:val="1E1E1E"/>
                <w:sz w:val="20"/>
                <w:szCs w:val="20"/>
                <w:shd w:val="clear" w:color="auto" w:fill="FFFFFF"/>
              </w:rPr>
              <w:t>提高文学作品的分析鉴赏能力，文言文阅读能力，写作表达能力，整理和运用信息的能力。</w:t>
            </w:r>
            <w:r>
              <w:rPr>
                <w:rFonts w:ascii="宋体" w:hAnsi="宋体"/>
                <w:kern w:val="0"/>
                <w:sz w:val="20"/>
                <w:szCs w:val="20"/>
              </w:rPr>
              <w:t xml:space="preserve"> </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cs="宋体"/>
                <w:color w:val="1E1E1E"/>
                <w:sz w:val="20"/>
                <w:szCs w:val="20"/>
                <w:shd w:val="clear" w:color="auto" w:fill="FFFFFF"/>
              </w:rPr>
            </w:pPr>
            <w:r>
              <w:rPr>
                <w:rFonts w:hint="eastAsia" w:ascii="宋体" w:hAnsi="宋体"/>
                <w:b/>
                <w:kern w:val="0"/>
                <w:sz w:val="20"/>
                <w:szCs w:val="20"/>
              </w:rPr>
              <w:t>素质目标：</w:t>
            </w:r>
            <w:r>
              <w:rPr>
                <w:rFonts w:hint="eastAsia" w:ascii="宋体" w:hAnsi="宋体" w:cs="宋体"/>
                <w:color w:val="1E1E1E"/>
                <w:sz w:val="20"/>
                <w:szCs w:val="20"/>
                <w:shd w:val="clear" w:color="auto" w:fill="FFFFFF"/>
              </w:rPr>
              <w:t>培养学生乐观的生活态度、求实的科学态度、宽容的人生态度，提升学生的人文素养人文情怀，提升思维品质、审美情趣和文化品位，确立起对真善美的价值追求以及人与自然和谐、可持续发展的理念。</w:t>
            </w:r>
          </w:p>
        </w:tc>
        <w:tc>
          <w:tcPr>
            <w:tcW w:w="1518"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主要内容：</w:t>
            </w:r>
            <w:r>
              <w:rPr>
                <w:rFonts w:hint="eastAsia" w:ascii="宋体" w:hAnsi="宋体" w:cs="宋体"/>
                <w:color w:val="1E1E1E"/>
                <w:kern w:val="0"/>
                <w:sz w:val="20"/>
                <w:szCs w:val="20"/>
                <w:shd w:val="clear" w:color="auto" w:fill="FFFFFF"/>
                <w:lang w:bidi="ar"/>
              </w:rPr>
              <w:t>学习各类体裁的文章和古今重要的经典作品，学习写作记叙文、说明文、立论文和驳论文、公文、事务文书、经济文书和科技文体等。</w:t>
            </w:r>
            <w:r>
              <w:rPr>
                <w:rFonts w:ascii="宋体" w:hAnsi="宋体"/>
                <w:kern w:val="0"/>
                <w:sz w:val="20"/>
                <w:szCs w:val="20"/>
              </w:rPr>
              <w:t xml:space="preserve"> </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教学要求：</w:t>
            </w:r>
            <w:r>
              <w:rPr>
                <w:rFonts w:hint="eastAsia" w:ascii="宋体" w:hAnsi="宋体" w:cs="宋体"/>
                <w:color w:val="1E1E1E"/>
                <w:kern w:val="0"/>
                <w:sz w:val="20"/>
                <w:szCs w:val="20"/>
                <w:shd w:val="clear" w:color="auto" w:fill="FFFFFF"/>
                <w:lang w:bidi="ar"/>
              </w:rPr>
              <w:t>要求掌握阅读的方法和技巧，提高赏析各类文章的能力；掌握说明文、议论文、应用文等不同文种的概念、特点，培养分析能力和写作能力。</w:t>
            </w:r>
          </w:p>
        </w:tc>
        <w:tc>
          <w:tcPr>
            <w:tcW w:w="447"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b/>
                <w:bCs/>
                <w:kern w:val="0"/>
                <w:sz w:val="20"/>
                <w:szCs w:val="20"/>
              </w:rPr>
            </w:pPr>
            <w:r>
              <w:rPr>
                <w:rFonts w:hint="eastAsia" w:ascii="宋体"/>
                <w:sz w:val="20"/>
                <w:szCs w:val="20"/>
                <w:lang w:val="en-US" w:eastAsia="zh-CN"/>
              </w:rPr>
              <w:t>22</w:t>
            </w:r>
            <w:r>
              <w:rPr>
                <w:rFonts w:hint="eastAsia" w:ascii="宋体"/>
                <w:sz w:val="20"/>
                <w:szCs w:val="20"/>
              </w:rPr>
              <w:t>/</w:t>
            </w:r>
            <w:r>
              <w:rPr>
                <w:rFonts w:hint="eastAsia" w:ascii="宋体"/>
                <w:sz w:val="20"/>
                <w:szCs w:val="20"/>
                <w:lang w:val="en-US" w:eastAsia="zh-CN"/>
              </w:rPr>
              <w:t>44</w:t>
            </w:r>
            <w:r>
              <w:rPr>
                <w:rFonts w:hint="eastAsia" w:ascii="宋体"/>
                <w:sz w:val="20"/>
                <w:szCs w:val="20"/>
              </w:rPr>
              <w:t>0</w:t>
            </w:r>
          </w:p>
        </w:tc>
        <w:tc>
          <w:tcPr>
            <w:tcW w:w="336"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r>
              <w:rPr>
                <w:rFonts w:hint="eastAsia" w:ascii="宋体" w:hAnsi="宋体"/>
                <w:sz w:val="20"/>
                <w:szCs w:val="20"/>
              </w:rPr>
              <w:t>统考课程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7" w:hRule="atLeast"/>
          <w:jc w:val="center"/>
        </w:trPr>
        <w:tc>
          <w:tcPr>
            <w:tcW w:w="335" w:type="pct"/>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659"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sz w:val="20"/>
                <w:szCs w:val="20"/>
              </w:rPr>
            </w:pPr>
            <w:r>
              <w:rPr>
                <w:rFonts w:hint="eastAsia" w:ascii="宋体"/>
                <w:sz w:val="20"/>
                <w:szCs w:val="20"/>
              </w:rPr>
              <w:t>数学</w:t>
            </w:r>
          </w:p>
        </w:tc>
        <w:tc>
          <w:tcPr>
            <w:tcW w:w="1702"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知识目标：</w:t>
            </w:r>
            <w:r>
              <w:rPr>
                <w:rFonts w:hint="eastAsia"/>
                <w:sz w:val="20"/>
                <w:szCs w:val="20"/>
              </w:rPr>
              <w:t>掌握初等函数、几何、数理统计、微积分、线性代数的基本概念。</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能力目标：</w:t>
            </w:r>
            <w:r>
              <w:rPr>
                <w:rFonts w:hint="eastAsia"/>
                <w:sz w:val="20"/>
                <w:szCs w:val="20"/>
              </w:rPr>
              <w:t>会进行一些简单计算，具备后续专业课程学习中涉及到的相关数学知识。具备一定的数学思维，会综合运用数学的思想方法解决问题，能对简单的实际问题进行数学化、并借助信息技术求解和分析。</w:t>
            </w:r>
          </w:p>
          <w:p>
            <w:pPr>
              <w:keepNext w:val="0"/>
              <w:keepLines w:val="0"/>
              <w:pageBreakBefore w:val="0"/>
              <w:widowControl w:val="0"/>
              <w:kinsoku/>
              <w:wordWrap w:val="0"/>
              <w:overflowPunct/>
              <w:topLinePunct/>
              <w:autoSpaceDE/>
              <w:autoSpaceDN/>
              <w:bidi w:val="0"/>
              <w:adjustRightInd/>
              <w:snapToGrid/>
              <w:jc w:val="left"/>
              <w:textAlignment w:val="auto"/>
              <w:rPr>
                <w:sz w:val="20"/>
                <w:szCs w:val="20"/>
              </w:rPr>
            </w:pPr>
            <w:r>
              <w:rPr>
                <w:rFonts w:hint="eastAsia" w:ascii="宋体" w:hAnsi="宋体"/>
                <w:b/>
                <w:kern w:val="0"/>
                <w:sz w:val="20"/>
                <w:szCs w:val="20"/>
              </w:rPr>
              <w:t>素质目标：</w:t>
            </w:r>
            <w:r>
              <w:rPr>
                <w:rFonts w:hint="eastAsia"/>
                <w:sz w:val="20"/>
                <w:szCs w:val="20"/>
              </w:rPr>
              <w:t>养成自主学习的习惯，具备必要的数学素养，具有耐心细致、实事求是、追求真理的高尚品质。</w:t>
            </w:r>
          </w:p>
        </w:tc>
        <w:tc>
          <w:tcPr>
            <w:tcW w:w="1518"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主要内容：</w:t>
            </w:r>
            <w:r>
              <w:rPr>
                <w:rFonts w:hint="eastAsia" w:ascii="宋体" w:hAnsi="宋体" w:cs="宋体"/>
                <w:color w:val="1E1E1E"/>
                <w:kern w:val="0"/>
                <w:sz w:val="20"/>
                <w:szCs w:val="20"/>
                <w:shd w:val="clear" w:color="auto" w:fill="FFFFFF"/>
                <w:lang w:bidi="ar"/>
              </w:rPr>
              <w:t>初等函数的集合、不等式、函数的概念和性质、幂函数、指数函数、对数函数、正余弦正切三角函数、等差数列与等比数列、平面向量、二次曲线、立体几何初步；数理统计初步；矩阵与线性方程组、高等数学中的极限、函数的连续性、导数和导数的应用、微积分基本定理、积分和积分应用等</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教学要求：</w:t>
            </w:r>
            <w:r>
              <w:rPr>
                <w:rFonts w:hint="eastAsia" w:ascii="宋体" w:hAnsi="宋体" w:cs="宋体"/>
                <w:color w:val="1E1E1E"/>
                <w:kern w:val="0"/>
                <w:sz w:val="20"/>
                <w:szCs w:val="20"/>
                <w:shd w:val="clear" w:color="auto" w:fill="FFFFFF"/>
                <w:lang w:bidi="ar"/>
              </w:rPr>
              <w:t>本课程传授中高职五年制必要的数学知识，教学中应让学生掌握大纲中所列的基本概念、定理和计算方法，提高数学的计算能力思维能力，培养分析问题和解决问题能力。</w:t>
            </w:r>
          </w:p>
        </w:tc>
        <w:tc>
          <w:tcPr>
            <w:tcW w:w="447"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ascii="宋体" w:hAnsi="宋体" w:eastAsia="宋体"/>
                <w:b/>
                <w:bCs/>
                <w:kern w:val="0"/>
                <w:sz w:val="20"/>
                <w:szCs w:val="20"/>
                <w:lang w:val="en-US" w:eastAsia="zh-CN"/>
              </w:rPr>
            </w:pPr>
            <w:r>
              <w:rPr>
                <w:rFonts w:ascii="宋体"/>
                <w:sz w:val="20"/>
                <w:szCs w:val="20"/>
              </w:rPr>
              <w:t>24/</w:t>
            </w:r>
            <w:r>
              <w:rPr>
                <w:rFonts w:hint="eastAsia" w:ascii="宋体"/>
                <w:sz w:val="20"/>
                <w:szCs w:val="20"/>
                <w:lang w:val="en-US" w:eastAsia="zh-CN"/>
              </w:rPr>
              <w:t>480</w:t>
            </w:r>
          </w:p>
        </w:tc>
        <w:tc>
          <w:tcPr>
            <w:tcW w:w="336"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r>
              <w:rPr>
                <w:rFonts w:hint="eastAsia" w:ascii="宋体" w:hAnsi="宋体"/>
                <w:sz w:val="20"/>
                <w:szCs w:val="20"/>
              </w:rPr>
              <w:t>统考课程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 w:type="pct"/>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659"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sz w:val="20"/>
                <w:szCs w:val="20"/>
              </w:rPr>
            </w:pPr>
            <w:r>
              <w:rPr>
                <w:rFonts w:hint="eastAsia" w:ascii="宋体"/>
                <w:sz w:val="20"/>
                <w:szCs w:val="20"/>
              </w:rPr>
              <w:t>英语</w:t>
            </w:r>
          </w:p>
        </w:tc>
        <w:tc>
          <w:tcPr>
            <w:tcW w:w="1702"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知识目标：</w:t>
            </w:r>
            <w:r>
              <w:rPr>
                <w:rFonts w:hint="eastAsia"/>
                <w:sz w:val="20"/>
                <w:szCs w:val="20"/>
              </w:rPr>
              <w:t>使学生掌握一定的英语基础知识和听、说、读、写技能，形成一定的语言运用综合能力。</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能力目标：</w:t>
            </w:r>
            <w:r>
              <w:rPr>
                <w:rFonts w:hint="eastAsia"/>
                <w:sz w:val="20"/>
                <w:szCs w:val="20"/>
              </w:rPr>
              <w:t>帮助学生了解中西方文化的差异，拓展视野；为他们的就业、升学、终身学习和发展打下良好的基础。</w:t>
            </w:r>
          </w:p>
          <w:p>
            <w:pPr>
              <w:keepNext w:val="0"/>
              <w:keepLines w:val="0"/>
              <w:pageBreakBefore w:val="0"/>
              <w:widowControl w:val="0"/>
              <w:kinsoku/>
              <w:wordWrap w:val="0"/>
              <w:overflowPunct/>
              <w:topLinePunct/>
              <w:autoSpaceDE/>
              <w:autoSpaceDN/>
              <w:bidi w:val="0"/>
              <w:adjustRightInd/>
              <w:snapToGrid/>
              <w:jc w:val="left"/>
              <w:textAlignment w:val="auto"/>
              <w:rPr>
                <w:sz w:val="20"/>
                <w:szCs w:val="20"/>
              </w:rPr>
            </w:pPr>
            <w:r>
              <w:rPr>
                <w:rFonts w:hint="eastAsia" w:ascii="宋体" w:hAnsi="宋体"/>
                <w:b/>
                <w:kern w:val="0"/>
                <w:sz w:val="20"/>
                <w:szCs w:val="20"/>
              </w:rPr>
              <w:t>素质目标：</w:t>
            </w:r>
            <w:r>
              <w:rPr>
                <w:rFonts w:hint="eastAsia"/>
                <w:sz w:val="20"/>
                <w:szCs w:val="20"/>
              </w:rPr>
              <w:t>激发和培养学生学习英语的兴趣，使学生树立自信心，养成良好的学习习惯，形成有效的学习策略，发展自主学习的能力和合作精神。</w:t>
            </w:r>
          </w:p>
        </w:tc>
        <w:tc>
          <w:tcPr>
            <w:tcW w:w="1518"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主要内容：</w:t>
            </w:r>
            <w:r>
              <w:rPr>
                <w:rFonts w:hint="eastAsia" w:ascii="宋体" w:hAnsi="宋体" w:cs="宋体"/>
                <w:color w:val="1E1E1E"/>
                <w:kern w:val="0"/>
                <w:sz w:val="20"/>
                <w:szCs w:val="20"/>
                <w:shd w:val="clear" w:color="auto" w:fill="FFFFFF"/>
                <w:lang w:bidi="ar"/>
              </w:rPr>
              <w:t>全国高等学校英语应用能力考试（B级）和全国高等学校英语应用能力考试（A级）考试内容。</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教学要求：</w:t>
            </w:r>
            <w:r>
              <w:rPr>
                <w:rFonts w:hint="eastAsia" w:ascii="宋体" w:hAnsi="宋体" w:cs="宋体"/>
                <w:color w:val="1E1E1E"/>
                <w:kern w:val="0"/>
                <w:sz w:val="20"/>
                <w:szCs w:val="20"/>
                <w:shd w:val="clear" w:color="auto" w:fill="FFFFFF"/>
                <w:lang w:bidi="ar"/>
              </w:rPr>
              <w:t>选择具有时代性、基础性、专业性的课程内容，兼备热门话题学习与基础语法巩固环节。重在发展学生的语言运用综合能力。能结合中高职一体化学生的学习特点，夯实学生英语基本功，把基本功运用到实际涉外交际中去。</w:t>
            </w:r>
          </w:p>
        </w:tc>
        <w:tc>
          <w:tcPr>
            <w:tcW w:w="447"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hint="default" w:ascii="宋体" w:hAnsi="宋体" w:eastAsia="宋体" w:cs="宋体"/>
                <w:color w:val="1E1E1E"/>
                <w:kern w:val="0"/>
                <w:sz w:val="20"/>
                <w:szCs w:val="20"/>
                <w:shd w:val="clear" w:color="auto" w:fill="FFFFFF"/>
                <w:lang w:val="en-US" w:eastAsia="zh-CN" w:bidi="ar"/>
              </w:rPr>
            </w:pPr>
            <w:r>
              <w:rPr>
                <w:rFonts w:ascii="宋体" w:hAnsi="宋体" w:cs="宋体"/>
                <w:color w:val="1E1E1E"/>
                <w:kern w:val="0"/>
                <w:sz w:val="20"/>
                <w:szCs w:val="20"/>
                <w:shd w:val="clear" w:color="auto" w:fill="FFFFFF"/>
                <w:lang w:bidi="ar"/>
              </w:rPr>
              <w:t>2</w:t>
            </w:r>
            <w:r>
              <w:rPr>
                <w:rFonts w:hint="eastAsia" w:ascii="宋体" w:hAnsi="宋体" w:cs="宋体"/>
                <w:color w:val="1E1E1E"/>
                <w:kern w:val="0"/>
                <w:sz w:val="20"/>
                <w:szCs w:val="20"/>
                <w:shd w:val="clear" w:color="auto" w:fill="FFFFFF"/>
                <w:lang w:val="en-US" w:eastAsia="zh-CN" w:bidi="ar"/>
              </w:rPr>
              <w:t>4</w:t>
            </w:r>
            <w:r>
              <w:rPr>
                <w:rFonts w:ascii="宋体" w:hAnsi="宋体" w:cs="宋体"/>
                <w:color w:val="1E1E1E"/>
                <w:kern w:val="0"/>
                <w:sz w:val="20"/>
                <w:szCs w:val="20"/>
                <w:shd w:val="clear" w:color="auto" w:fill="FFFFFF"/>
                <w:lang w:bidi="ar"/>
              </w:rPr>
              <w:t>/</w:t>
            </w:r>
            <w:r>
              <w:rPr>
                <w:rFonts w:hint="eastAsia" w:ascii="宋体" w:hAnsi="宋体" w:cs="宋体"/>
                <w:color w:val="1E1E1E"/>
                <w:kern w:val="0"/>
                <w:sz w:val="20"/>
                <w:szCs w:val="20"/>
                <w:shd w:val="clear" w:color="auto" w:fill="FFFFFF"/>
                <w:lang w:val="en-US" w:eastAsia="zh-CN" w:bidi="ar"/>
              </w:rPr>
              <w:t>480</w:t>
            </w:r>
          </w:p>
        </w:tc>
        <w:tc>
          <w:tcPr>
            <w:tcW w:w="336"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r>
              <w:rPr>
                <w:rFonts w:hint="eastAsia" w:ascii="宋体" w:hAnsi="宋体"/>
                <w:sz w:val="20"/>
                <w:szCs w:val="20"/>
              </w:rPr>
              <w:t>统考课程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 w:type="pct"/>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659"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bCs/>
                <w:sz w:val="20"/>
                <w:szCs w:val="20"/>
                <w:lang w:val="en-US" w:eastAsia="zh-CN"/>
              </w:rPr>
            </w:pPr>
            <w:r>
              <w:rPr>
                <w:rFonts w:hint="eastAsia"/>
                <w:bCs/>
                <w:sz w:val="20"/>
                <w:szCs w:val="20"/>
                <w:lang w:val="en-US" w:eastAsia="zh-CN"/>
              </w:rPr>
              <w:t>思想政治</w:t>
            </w:r>
          </w:p>
        </w:tc>
        <w:tc>
          <w:tcPr>
            <w:tcW w:w="1702"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知识目标：</w:t>
            </w:r>
            <w:r>
              <w:rPr>
                <w:rFonts w:hint="eastAsia"/>
                <w:sz w:val="20"/>
                <w:szCs w:val="20"/>
              </w:rPr>
              <w:t>培养学生正确的自我认知能力，包括自我认识、评价和反思等。</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能力目标：</w:t>
            </w:r>
            <w:r>
              <w:rPr>
                <w:rFonts w:hint="eastAsia"/>
                <w:sz w:val="20"/>
                <w:szCs w:val="20"/>
              </w:rPr>
              <w:t>培养学生良好的个性心理，预防和矫正不良的个性品质。帮助学生察觉和理解自己的情绪状态，学会主动调节、控制自己的情绪。</w:t>
            </w:r>
          </w:p>
          <w:p>
            <w:pPr>
              <w:keepNext w:val="0"/>
              <w:keepLines w:val="0"/>
              <w:pageBreakBefore w:val="0"/>
              <w:widowControl w:val="0"/>
              <w:kinsoku/>
              <w:wordWrap w:val="0"/>
              <w:overflowPunct/>
              <w:topLinePunct/>
              <w:autoSpaceDE/>
              <w:autoSpaceDN/>
              <w:bidi w:val="0"/>
              <w:adjustRightInd/>
              <w:snapToGrid/>
              <w:jc w:val="left"/>
              <w:textAlignment w:val="auto"/>
              <w:rPr>
                <w:sz w:val="20"/>
                <w:szCs w:val="20"/>
              </w:rPr>
            </w:pPr>
            <w:r>
              <w:rPr>
                <w:rFonts w:hint="eastAsia" w:ascii="宋体" w:hAnsi="宋体"/>
                <w:b/>
                <w:kern w:val="0"/>
                <w:sz w:val="20"/>
                <w:szCs w:val="20"/>
              </w:rPr>
              <w:t>素质目标：</w:t>
            </w:r>
            <w:r>
              <w:rPr>
                <w:rFonts w:hint="eastAsia"/>
                <w:sz w:val="20"/>
                <w:szCs w:val="20"/>
              </w:rPr>
              <w:t>帮助学生开发智力，积极适应即将面临的实习或大学环境。</w:t>
            </w:r>
          </w:p>
        </w:tc>
        <w:tc>
          <w:tcPr>
            <w:tcW w:w="1518"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主要内容：</w:t>
            </w:r>
            <w:r>
              <w:rPr>
                <w:rFonts w:hint="eastAsia"/>
                <w:sz w:val="20"/>
                <w:szCs w:val="20"/>
              </w:rPr>
              <w:t>人生理想、价值观等。</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教学要求：</w:t>
            </w:r>
            <w:r>
              <w:rPr>
                <w:rFonts w:hint="eastAsia"/>
                <w:sz w:val="20"/>
                <w:szCs w:val="20"/>
              </w:rPr>
              <w:t>使学生形成对挫折的正确态度和良好的耐挫折能力，具备良好的个人沟通能力。具备良好的思想道德素质和法律素质，把个人人生理想融入国家和民族的事业中，树立为中华民族伟大复兴的中国梦而奋斗的决心和信心，勇做走在时代前面的奋进者。使学生具备更高级的社会态度和价值观等。</w:t>
            </w:r>
          </w:p>
        </w:tc>
        <w:tc>
          <w:tcPr>
            <w:tcW w:w="447"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hint="default" w:ascii="宋体" w:hAnsi="宋体" w:eastAsia="宋体" w:cs="宋体"/>
                <w:color w:val="1E1E1E"/>
                <w:kern w:val="0"/>
                <w:sz w:val="20"/>
                <w:szCs w:val="20"/>
                <w:shd w:val="clear" w:color="auto" w:fill="FFFFFF"/>
                <w:lang w:val="en-US" w:eastAsia="zh-CN" w:bidi="ar"/>
              </w:rPr>
            </w:pPr>
            <w:r>
              <w:rPr>
                <w:rFonts w:hint="eastAsia" w:ascii="宋体" w:hAnsi="宋体" w:cs="宋体"/>
                <w:color w:val="1E1E1E"/>
                <w:kern w:val="0"/>
                <w:sz w:val="20"/>
                <w:szCs w:val="20"/>
                <w:shd w:val="clear" w:color="auto" w:fill="FFFFFF"/>
                <w:lang w:bidi="ar"/>
              </w:rPr>
              <w:t>8</w:t>
            </w:r>
            <w:r>
              <w:rPr>
                <w:rFonts w:ascii="宋体" w:hAnsi="宋体" w:cs="宋体"/>
                <w:color w:val="1E1E1E"/>
                <w:kern w:val="0"/>
                <w:sz w:val="20"/>
                <w:szCs w:val="20"/>
                <w:shd w:val="clear" w:color="auto" w:fill="FFFFFF"/>
                <w:lang w:bidi="ar"/>
              </w:rPr>
              <w:t>/</w:t>
            </w:r>
            <w:r>
              <w:rPr>
                <w:rFonts w:hint="eastAsia" w:ascii="宋体" w:hAnsi="宋体" w:cs="宋体"/>
                <w:color w:val="1E1E1E"/>
                <w:kern w:val="0"/>
                <w:sz w:val="20"/>
                <w:szCs w:val="20"/>
                <w:shd w:val="clear" w:color="auto" w:fill="FFFFFF"/>
                <w:lang w:val="en-US" w:eastAsia="zh-CN" w:bidi="ar"/>
              </w:rPr>
              <w:t>160</w:t>
            </w:r>
          </w:p>
        </w:tc>
        <w:tc>
          <w:tcPr>
            <w:tcW w:w="336"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35" w:type="pct"/>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659"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eastAsia="宋体"/>
                <w:bCs/>
                <w:sz w:val="20"/>
                <w:szCs w:val="20"/>
                <w:lang w:val="en-US" w:eastAsia="zh-CN"/>
              </w:rPr>
            </w:pPr>
            <w:r>
              <w:rPr>
                <w:rFonts w:hint="eastAsia"/>
                <w:bCs/>
                <w:sz w:val="20"/>
                <w:szCs w:val="20"/>
              </w:rPr>
              <w:t>体育</w:t>
            </w:r>
            <w:r>
              <w:rPr>
                <w:rFonts w:hint="eastAsia"/>
                <w:bCs/>
                <w:sz w:val="20"/>
                <w:szCs w:val="20"/>
                <w:lang w:val="en-US" w:eastAsia="zh-CN"/>
              </w:rPr>
              <w:t>与健康</w:t>
            </w:r>
          </w:p>
        </w:tc>
        <w:tc>
          <w:tcPr>
            <w:tcW w:w="1702"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b/>
                <w:sz w:val="20"/>
                <w:szCs w:val="20"/>
              </w:rPr>
              <w:t>知识目标：</w:t>
            </w:r>
            <w:r>
              <w:rPr>
                <w:rFonts w:hint="eastAsia" w:ascii="宋体" w:hAnsi="宋体"/>
                <w:sz w:val="20"/>
                <w:szCs w:val="20"/>
              </w:rPr>
              <w:t>了解所选项目相关知识；掌握所选项目的基本技术和战术。</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b/>
                <w:sz w:val="20"/>
                <w:szCs w:val="20"/>
              </w:rPr>
              <w:t>能力目标：</w:t>
            </w:r>
            <w:r>
              <w:rPr>
                <w:rFonts w:hint="eastAsia" w:ascii="宋体" w:hAnsi="宋体"/>
                <w:sz w:val="20"/>
                <w:szCs w:val="20"/>
              </w:rPr>
              <w:t>能合理地进行所选专项运动，避免运动损伤损伤；能编制个人锻炼计划。</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b/>
                <w:sz w:val="20"/>
                <w:szCs w:val="20"/>
              </w:rPr>
              <w:t>素质目标：</w:t>
            </w:r>
            <w:r>
              <w:rPr>
                <w:rFonts w:hint="eastAsia" w:ascii="宋体" w:hAnsi="宋体"/>
                <w:sz w:val="20"/>
                <w:szCs w:val="20"/>
              </w:rPr>
              <w:t>养成自觉锻炼习惯，树立终身体育意识。</w:t>
            </w:r>
          </w:p>
        </w:tc>
        <w:tc>
          <w:tcPr>
            <w:tcW w:w="1518"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b/>
                <w:sz w:val="20"/>
                <w:szCs w:val="20"/>
              </w:rPr>
              <w:t>主要内容：</w:t>
            </w:r>
            <w:r>
              <w:rPr>
                <w:rFonts w:hint="eastAsia" w:ascii="宋体" w:hAnsi="宋体"/>
                <w:sz w:val="20"/>
                <w:szCs w:val="20"/>
              </w:rPr>
              <w:t>篮球、排球、足球、羽毛球、乒乓球、网球、武术、跆拳道、瑜伽、定向运动、有氧舞蹈、体适能等。</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b/>
                <w:sz w:val="20"/>
                <w:szCs w:val="20"/>
              </w:rPr>
              <w:t>教学要求：</w:t>
            </w:r>
            <w:r>
              <w:rPr>
                <w:rFonts w:hint="eastAsia" w:ascii="宋体" w:hAnsi="宋体"/>
                <w:sz w:val="20"/>
                <w:szCs w:val="20"/>
              </w:rPr>
              <w:t>以体测五项成绩作为选项依据，按各专项班进行上课。</w:t>
            </w:r>
          </w:p>
        </w:tc>
        <w:tc>
          <w:tcPr>
            <w:tcW w:w="447"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ascii="宋体" w:hAnsi="宋体" w:eastAsia="宋体"/>
                <w:b/>
                <w:bCs/>
                <w:kern w:val="0"/>
                <w:sz w:val="20"/>
                <w:szCs w:val="20"/>
                <w:lang w:val="en-US" w:eastAsia="zh-CN"/>
              </w:rPr>
            </w:pPr>
            <w:r>
              <w:rPr>
                <w:rFonts w:hint="eastAsia" w:ascii="宋体" w:hAnsi="宋体" w:cs="宋体"/>
                <w:color w:val="1E1E1E"/>
                <w:kern w:val="0"/>
                <w:sz w:val="20"/>
                <w:szCs w:val="20"/>
                <w:shd w:val="clear" w:color="auto" w:fill="FFFFFF"/>
                <w:lang w:bidi="ar"/>
              </w:rPr>
              <w:t>12</w:t>
            </w:r>
            <w:r>
              <w:rPr>
                <w:rFonts w:ascii="宋体" w:hAnsi="宋体" w:cs="宋体"/>
                <w:color w:val="1E1E1E"/>
                <w:kern w:val="0"/>
                <w:sz w:val="20"/>
                <w:szCs w:val="20"/>
                <w:shd w:val="clear" w:color="auto" w:fill="FFFFFF"/>
                <w:lang w:bidi="ar"/>
              </w:rPr>
              <w:t>/</w:t>
            </w:r>
            <w:r>
              <w:rPr>
                <w:rFonts w:hint="eastAsia" w:ascii="宋体" w:hAnsi="宋体" w:cs="宋体"/>
                <w:color w:val="1E1E1E"/>
                <w:kern w:val="0"/>
                <w:sz w:val="20"/>
                <w:szCs w:val="20"/>
                <w:shd w:val="clear" w:color="auto" w:fill="FFFFFF"/>
                <w:lang w:val="en-US" w:eastAsia="zh-CN" w:bidi="ar"/>
              </w:rPr>
              <w:t>240</w:t>
            </w:r>
          </w:p>
        </w:tc>
        <w:tc>
          <w:tcPr>
            <w:tcW w:w="336"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35" w:type="pct"/>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659"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bCs/>
                <w:sz w:val="20"/>
                <w:szCs w:val="20"/>
              </w:rPr>
            </w:pPr>
            <w:r>
              <w:rPr>
                <w:rFonts w:hint="eastAsia"/>
                <w:bCs/>
                <w:sz w:val="20"/>
                <w:szCs w:val="20"/>
              </w:rPr>
              <w:t>历史</w:t>
            </w:r>
          </w:p>
        </w:tc>
        <w:tc>
          <w:tcPr>
            <w:tcW w:w="1702"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知识目标：</w:t>
            </w:r>
            <w:r>
              <w:rPr>
                <w:rFonts w:hint="eastAsia" w:ascii="宋体" w:hAnsi="宋体"/>
                <w:sz w:val="20"/>
                <w:szCs w:val="20"/>
              </w:rPr>
              <w:t>扩大掌握历史知识的范围，深入地了解历史发展的基本线索。</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能力目标：</w:t>
            </w:r>
            <w:r>
              <w:rPr>
                <w:rFonts w:hint="eastAsia" w:ascii="宋体" w:hAnsi="宋体"/>
                <w:sz w:val="20"/>
                <w:szCs w:val="20"/>
              </w:rPr>
              <w:t>对历史唯物主义的基本理论和方法有所了解，初步认识人类社会发展的基本规律。</w:t>
            </w:r>
          </w:p>
          <w:p>
            <w:pPr>
              <w:keepNext w:val="0"/>
              <w:keepLines w:val="0"/>
              <w:pageBreakBefore w:val="0"/>
              <w:widowControl w:val="0"/>
              <w:kinsoku/>
              <w:wordWrap w:val="0"/>
              <w:overflowPunct/>
              <w:topLinePunct/>
              <w:autoSpaceDE/>
              <w:autoSpaceDN/>
              <w:bidi w:val="0"/>
              <w:adjustRightInd/>
              <w:snapToGrid/>
              <w:jc w:val="left"/>
              <w:textAlignment w:val="auto"/>
              <w:rPr>
                <w:sz w:val="20"/>
                <w:szCs w:val="20"/>
              </w:rPr>
            </w:pPr>
            <w:r>
              <w:rPr>
                <w:rFonts w:hint="eastAsia" w:ascii="宋体" w:hAnsi="宋体"/>
                <w:b/>
                <w:kern w:val="0"/>
                <w:sz w:val="20"/>
                <w:szCs w:val="20"/>
              </w:rPr>
              <w:t>素质目标：</w:t>
            </w:r>
            <w:r>
              <w:rPr>
                <w:rFonts w:hint="eastAsia" w:ascii="宋体" w:hAnsi="宋体"/>
                <w:sz w:val="20"/>
                <w:szCs w:val="20"/>
              </w:rPr>
              <w:t>学会运用科学的理论和方法认识历史和现实问题，逐步形成科学的世界观和历史观。</w:t>
            </w:r>
          </w:p>
        </w:tc>
        <w:tc>
          <w:tcPr>
            <w:tcW w:w="1518"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主要内容：</w:t>
            </w:r>
            <w:r>
              <w:rPr>
                <w:rFonts w:hint="eastAsia" w:ascii="宋体" w:hAnsi="宋体"/>
                <w:kern w:val="0"/>
                <w:sz w:val="20"/>
                <w:szCs w:val="20"/>
              </w:rPr>
              <w:t>古代中国的政治制度，列强侵略与中国人民的反抗斗争，近代中国的民主革命，现代中国的政治建设与祖国统一，现代中国的对外关系，古代希腊罗马的政治制度，欧美资产阶级代议制的确立与发展，从科学社会主义理论到社会主义制度的建立，当今世界政治格局的多极化趋势。</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教学要求：</w:t>
            </w:r>
            <w:r>
              <w:rPr>
                <w:rFonts w:hint="eastAsia" w:ascii="宋体" w:hAnsi="宋体"/>
                <w:kern w:val="0"/>
                <w:sz w:val="20"/>
                <w:szCs w:val="20"/>
              </w:rPr>
              <w:t>根据教育部制定的《历史》教学大纲设置教学内容。</w:t>
            </w:r>
          </w:p>
        </w:tc>
        <w:tc>
          <w:tcPr>
            <w:tcW w:w="447"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ascii="宋体" w:hAnsi="宋体" w:eastAsia="宋体"/>
                <w:b/>
                <w:bCs/>
                <w:kern w:val="0"/>
                <w:sz w:val="20"/>
                <w:szCs w:val="20"/>
                <w:lang w:val="en-US" w:eastAsia="zh-CN"/>
              </w:rPr>
            </w:pPr>
            <w:r>
              <w:rPr>
                <w:rFonts w:hint="eastAsia" w:ascii="宋体" w:hAnsi="宋体"/>
                <w:sz w:val="20"/>
                <w:szCs w:val="20"/>
              </w:rPr>
              <w:t>2/</w:t>
            </w:r>
            <w:r>
              <w:rPr>
                <w:rFonts w:hint="eastAsia" w:ascii="宋体" w:hAnsi="宋体"/>
                <w:sz w:val="20"/>
                <w:szCs w:val="20"/>
                <w:lang w:val="en-US" w:eastAsia="zh-CN"/>
              </w:rPr>
              <w:t>40</w:t>
            </w:r>
          </w:p>
        </w:tc>
        <w:tc>
          <w:tcPr>
            <w:tcW w:w="336"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35" w:type="pct"/>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659"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bCs/>
                <w:sz w:val="20"/>
                <w:szCs w:val="20"/>
              </w:rPr>
            </w:pPr>
            <w:r>
              <w:rPr>
                <w:rFonts w:hint="eastAsia"/>
                <w:bCs/>
                <w:sz w:val="20"/>
                <w:szCs w:val="20"/>
              </w:rPr>
              <w:t>艺术</w:t>
            </w:r>
          </w:p>
        </w:tc>
        <w:tc>
          <w:tcPr>
            <w:tcW w:w="1702"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知识目标：</w:t>
            </w:r>
            <w:r>
              <w:rPr>
                <w:rFonts w:hint="eastAsia" w:ascii="宋体" w:hAnsi="宋体"/>
                <w:kern w:val="0"/>
                <w:sz w:val="20"/>
                <w:szCs w:val="20"/>
              </w:rPr>
              <w:t>对艺术的本质、发生和发展、艺术的创作、艺术本文、艺术的接受和批评等理论有明晰的了解和把握。</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能力目标：</w:t>
            </w:r>
            <w:r>
              <w:rPr>
                <w:rFonts w:hint="eastAsia" w:ascii="宋体" w:hAnsi="宋体"/>
                <w:kern w:val="0"/>
                <w:sz w:val="20"/>
                <w:szCs w:val="20"/>
              </w:rPr>
              <w:t>培养学生初步确立科学的艺术观，基本具备观察艺术文化现象、分析艺术发展规律，使学生能够鉴赏中外不同趣味的艺术品，体会不同民族的审美特征、审美理想与追求，使学生养成艺术评论、艺术研究的能力。</w:t>
            </w:r>
          </w:p>
          <w:p>
            <w:pPr>
              <w:keepNext w:val="0"/>
              <w:keepLines w:val="0"/>
              <w:pageBreakBefore w:val="0"/>
              <w:widowControl w:val="0"/>
              <w:kinsoku/>
              <w:wordWrap w:val="0"/>
              <w:overflowPunct/>
              <w:topLinePunct/>
              <w:autoSpaceDE/>
              <w:autoSpaceDN/>
              <w:bidi w:val="0"/>
              <w:adjustRightInd/>
              <w:snapToGrid/>
              <w:jc w:val="left"/>
              <w:textAlignment w:val="auto"/>
              <w:rPr>
                <w:sz w:val="20"/>
                <w:szCs w:val="20"/>
              </w:rPr>
            </w:pPr>
            <w:r>
              <w:rPr>
                <w:rFonts w:hint="eastAsia" w:ascii="宋体" w:hAnsi="宋体"/>
                <w:b/>
                <w:kern w:val="0"/>
                <w:sz w:val="20"/>
                <w:szCs w:val="20"/>
              </w:rPr>
              <w:t>素质目标：</w:t>
            </w:r>
            <w:r>
              <w:rPr>
                <w:rFonts w:hint="eastAsia" w:ascii="宋体" w:hAnsi="宋体"/>
                <w:kern w:val="0"/>
                <w:sz w:val="20"/>
                <w:szCs w:val="20"/>
              </w:rPr>
              <w:t>提升自身的艺术素养与品味，进而增强民族的自豪感与自信心。</w:t>
            </w:r>
          </w:p>
        </w:tc>
        <w:tc>
          <w:tcPr>
            <w:tcW w:w="1518"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主要内容：</w:t>
            </w:r>
            <w:r>
              <w:rPr>
                <w:rFonts w:hint="eastAsia" w:ascii="宋体" w:hAnsi="宋体"/>
                <w:sz w:val="20"/>
                <w:szCs w:val="20"/>
              </w:rPr>
              <w:t>主要涉及艺术的本质、艺术的起源、艺术的作用、艺术的分类及艺术鉴赏等内容。</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b/>
                <w:kern w:val="0"/>
                <w:sz w:val="20"/>
                <w:szCs w:val="20"/>
              </w:rPr>
            </w:pPr>
            <w:r>
              <w:rPr>
                <w:rFonts w:hint="eastAsia" w:ascii="宋体" w:hAnsi="宋体"/>
                <w:b/>
                <w:kern w:val="0"/>
                <w:sz w:val="20"/>
                <w:szCs w:val="20"/>
              </w:rPr>
              <w:t>教学要求：</w:t>
            </w:r>
            <w:r>
              <w:rPr>
                <w:rFonts w:hint="eastAsia" w:ascii="宋体" w:hAnsi="宋体"/>
                <w:sz w:val="20"/>
                <w:szCs w:val="20"/>
              </w:rPr>
              <w:t>通过讲授艺术理论知识及欣赏优秀的艺术作品，提高学生艺术修养及品味。</w:t>
            </w:r>
          </w:p>
        </w:tc>
        <w:tc>
          <w:tcPr>
            <w:tcW w:w="447"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ascii="宋体" w:hAnsi="宋体" w:eastAsia="宋体"/>
                <w:b/>
                <w:bCs/>
                <w:kern w:val="0"/>
                <w:sz w:val="20"/>
                <w:szCs w:val="20"/>
                <w:lang w:val="en-US" w:eastAsia="zh-CN"/>
              </w:rPr>
            </w:pPr>
            <w:r>
              <w:rPr>
                <w:rFonts w:hint="eastAsia" w:ascii="宋体" w:hAnsi="宋体"/>
                <w:sz w:val="20"/>
                <w:szCs w:val="20"/>
              </w:rPr>
              <w:t>2/</w:t>
            </w:r>
            <w:r>
              <w:rPr>
                <w:rFonts w:hint="eastAsia" w:ascii="宋体" w:hAnsi="宋体"/>
                <w:sz w:val="20"/>
                <w:szCs w:val="20"/>
                <w:lang w:val="en-US" w:eastAsia="zh-CN"/>
              </w:rPr>
              <w:t>40</w:t>
            </w:r>
          </w:p>
        </w:tc>
        <w:tc>
          <w:tcPr>
            <w:tcW w:w="336"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8" w:hRule="atLeast"/>
          <w:jc w:val="center"/>
        </w:trPr>
        <w:tc>
          <w:tcPr>
            <w:tcW w:w="335" w:type="pct"/>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659"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sz w:val="20"/>
                <w:szCs w:val="20"/>
              </w:rPr>
              <w:t>心理健康</w:t>
            </w:r>
          </w:p>
        </w:tc>
        <w:tc>
          <w:tcPr>
            <w:tcW w:w="1702"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知识目标：</w:t>
            </w:r>
            <w:r>
              <w:rPr>
                <w:rFonts w:hint="eastAsia" w:ascii="宋体" w:hAnsi="宋体"/>
                <w:kern w:val="0"/>
                <w:sz w:val="20"/>
                <w:szCs w:val="20"/>
              </w:rPr>
              <w:t>掌握一定的心理学和心理健康知识。</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能力目标：</w:t>
            </w:r>
            <w:r>
              <w:rPr>
                <w:rFonts w:hint="eastAsia" w:ascii="宋体" w:hAnsi="宋体"/>
                <w:kern w:val="0"/>
                <w:sz w:val="20"/>
                <w:szCs w:val="20"/>
              </w:rPr>
              <w:t>增强心理承受能力，培养积极、乐观的人生态度，促进身心健康发展。</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素质目标：</w:t>
            </w:r>
            <w:r>
              <w:rPr>
                <w:rFonts w:hint="eastAsia" w:ascii="宋体" w:hAnsi="宋体"/>
                <w:kern w:val="0"/>
                <w:sz w:val="20"/>
                <w:szCs w:val="20"/>
              </w:rPr>
              <w:t>营造轻松、活泼的课堂氛围，形成良好的师生关系基础。</w:t>
            </w:r>
          </w:p>
        </w:tc>
        <w:tc>
          <w:tcPr>
            <w:tcW w:w="1518"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主要内容：</w:t>
            </w:r>
            <w:r>
              <w:rPr>
                <w:rFonts w:hint="eastAsia" w:ascii="宋体" w:hAnsi="宋体"/>
                <w:kern w:val="0"/>
                <w:sz w:val="20"/>
                <w:szCs w:val="20"/>
              </w:rPr>
              <w:t>心理健康的基本知识、学生适应性问题、学生人际交往、恋爱与性心理、情绪管理、认识自我。</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教学要求：</w:t>
            </w:r>
            <w:r>
              <w:rPr>
                <w:rFonts w:hint="eastAsia" w:ascii="宋体" w:hAnsi="宋体"/>
                <w:kern w:val="0"/>
                <w:sz w:val="20"/>
                <w:szCs w:val="20"/>
              </w:rPr>
              <w:t>根据教育部制定的《心理健康教育》教学大纲设置教学内容。理论与实践相结合，实践课时不少于6课时。采用线上线下结合的方式，线上以理论讲授为主，线下以答疑辅导和训练为主。</w:t>
            </w:r>
          </w:p>
        </w:tc>
        <w:tc>
          <w:tcPr>
            <w:tcW w:w="447"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ascii="宋体" w:hAnsi="宋体" w:eastAsia="宋体"/>
                <w:sz w:val="20"/>
                <w:szCs w:val="20"/>
                <w:lang w:val="en-US" w:eastAsia="zh-CN"/>
              </w:rPr>
            </w:pPr>
            <w:r>
              <w:rPr>
                <w:rFonts w:ascii="宋体" w:hAnsi="宋体"/>
                <w:sz w:val="20"/>
                <w:szCs w:val="20"/>
              </w:rPr>
              <w:t>2/</w:t>
            </w:r>
            <w:r>
              <w:rPr>
                <w:rFonts w:hint="eastAsia" w:ascii="宋体" w:hAnsi="宋体"/>
                <w:sz w:val="20"/>
                <w:szCs w:val="20"/>
                <w:lang w:val="en-US" w:eastAsia="zh-CN"/>
              </w:rPr>
              <w:t>40</w:t>
            </w:r>
          </w:p>
        </w:tc>
        <w:tc>
          <w:tcPr>
            <w:tcW w:w="336"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1" w:hRule="atLeast"/>
          <w:jc w:val="center"/>
        </w:trPr>
        <w:tc>
          <w:tcPr>
            <w:tcW w:w="335" w:type="pct"/>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659"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eastAsia="宋体"/>
                <w:bCs/>
                <w:sz w:val="20"/>
                <w:szCs w:val="20"/>
                <w:lang w:val="en-US" w:eastAsia="zh-CN"/>
              </w:rPr>
            </w:pPr>
            <w:r>
              <w:rPr>
                <w:rFonts w:hint="eastAsia"/>
                <w:bCs/>
                <w:sz w:val="20"/>
                <w:szCs w:val="20"/>
                <w:lang w:val="en-US" w:eastAsia="zh-CN"/>
              </w:rPr>
              <w:t>信息技术</w:t>
            </w:r>
          </w:p>
        </w:tc>
        <w:tc>
          <w:tcPr>
            <w:tcW w:w="1702" w:type="pct"/>
            <w:vAlign w:val="center"/>
          </w:tcPr>
          <w:p>
            <w:pPr>
              <w:keepNext w:val="0"/>
              <w:keepLines w:val="0"/>
              <w:pageBreakBefore w:val="0"/>
              <w:widowControl w:val="0"/>
              <w:kinsoku/>
              <w:wordWrap w:val="0"/>
              <w:overflowPunct/>
              <w:topLinePunct/>
              <w:autoSpaceDE/>
              <w:autoSpaceDN/>
              <w:bidi w:val="0"/>
              <w:adjustRightInd/>
              <w:snapToGrid/>
              <w:textAlignment w:val="auto"/>
              <w:rPr>
                <w:rFonts w:ascii="宋体" w:hAnsi="宋体"/>
                <w:b/>
                <w:kern w:val="0"/>
                <w:sz w:val="20"/>
                <w:szCs w:val="20"/>
              </w:rPr>
            </w:pPr>
            <w:r>
              <w:rPr>
                <w:rFonts w:hint="eastAsia" w:ascii="宋体" w:hAnsi="宋体"/>
                <w:b/>
                <w:kern w:val="0"/>
                <w:sz w:val="20"/>
                <w:szCs w:val="20"/>
              </w:rPr>
              <w:t>知识目标：</w:t>
            </w:r>
            <w:r>
              <w:rPr>
                <w:rFonts w:hint="eastAsia" w:ascii="宋体" w:hAnsi="宋体"/>
                <w:kern w:val="0"/>
                <w:sz w:val="20"/>
                <w:szCs w:val="20"/>
              </w:rPr>
              <w:t>了解计算机系统等相关概念、掌握文字编辑、电子表格、演示文稿、网络使用等工具软件的基本知识与操作技能。</w:t>
            </w:r>
          </w:p>
          <w:p>
            <w:pPr>
              <w:keepNext w:val="0"/>
              <w:keepLines w:val="0"/>
              <w:pageBreakBefore w:val="0"/>
              <w:widowControl w:val="0"/>
              <w:kinsoku/>
              <w:wordWrap w:val="0"/>
              <w:overflowPunct/>
              <w:topLinePunct/>
              <w:autoSpaceDE/>
              <w:autoSpaceDN/>
              <w:bidi w:val="0"/>
              <w:adjustRightInd/>
              <w:snapToGrid/>
              <w:textAlignment w:val="auto"/>
              <w:rPr>
                <w:rFonts w:ascii="宋体" w:hAnsi="宋体"/>
                <w:b/>
                <w:bCs/>
                <w:kern w:val="0"/>
                <w:sz w:val="20"/>
                <w:szCs w:val="20"/>
              </w:rPr>
            </w:pPr>
            <w:r>
              <w:rPr>
                <w:rFonts w:hint="eastAsia" w:ascii="宋体" w:hAnsi="宋体"/>
                <w:b/>
                <w:kern w:val="0"/>
                <w:sz w:val="20"/>
                <w:szCs w:val="20"/>
              </w:rPr>
              <w:t>能力目标：</w:t>
            </w:r>
            <w:r>
              <w:rPr>
                <w:rFonts w:hint="eastAsia" w:ascii="宋体" w:hAnsi="宋体"/>
                <w:kern w:val="0"/>
                <w:sz w:val="20"/>
                <w:szCs w:val="20"/>
              </w:rPr>
              <w:t>文字编辑、电子表格、演示文稿、网络使用</w:t>
            </w:r>
            <w:r>
              <w:rPr>
                <w:rFonts w:hint="eastAsia"/>
                <w:sz w:val="20"/>
                <w:szCs w:val="20"/>
              </w:rPr>
              <w:t>。</w:t>
            </w:r>
            <w:r>
              <w:rPr>
                <w:rFonts w:hint="eastAsia" w:ascii="宋体" w:hAnsi="宋体"/>
                <w:b/>
                <w:kern w:val="0"/>
                <w:sz w:val="20"/>
                <w:szCs w:val="20"/>
              </w:rPr>
              <w:t>素质目标：</w:t>
            </w:r>
            <w:r>
              <w:rPr>
                <w:rFonts w:hint="eastAsia"/>
                <w:sz w:val="20"/>
                <w:szCs w:val="20"/>
              </w:rPr>
              <w:t>本课程有两个教学目标：第1个量化目标为激励学生通过浙江省计算机一级WINDOWS等级考试；第2个质化目标为切实提高学生办公软件综合应用能力。</w:t>
            </w:r>
          </w:p>
        </w:tc>
        <w:tc>
          <w:tcPr>
            <w:tcW w:w="1518" w:type="pct"/>
            <w:vAlign w:val="center"/>
          </w:tcPr>
          <w:p>
            <w:pPr>
              <w:keepNext w:val="0"/>
              <w:keepLines w:val="0"/>
              <w:pageBreakBefore w:val="0"/>
              <w:widowControl w:val="0"/>
              <w:kinsoku/>
              <w:wordWrap w:val="0"/>
              <w:overflowPunct/>
              <w:topLinePunct/>
              <w:autoSpaceDE/>
              <w:autoSpaceDN/>
              <w:bidi w:val="0"/>
              <w:adjustRightInd/>
              <w:snapToGrid/>
              <w:textAlignment w:val="auto"/>
              <w:rPr>
                <w:sz w:val="20"/>
                <w:szCs w:val="20"/>
              </w:rPr>
            </w:pPr>
            <w:r>
              <w:rPr>
                <w:rFonts w:hint="eastAsia" w:ascii="宋体" w:hAnsi="宋体"/>
                <w:b/>
                <w:kern w:val="0"/>
                <w:sz w:val="20"/>
                <w:szCs w:val="20"/>
              </w:rPr>
              <w:t>主要内容：</w:t>
            </w:r>
            <w:r>
              <w:rPr>
                <w:rFonts w:hint="eastAsia"/>
                <w:sz w:val="20"/>
                <w:szCs w:val="20"/>
              </w:rPr>
              <w:t>计算机系统等相关概念、文字编辑、电子表格、演示文稿、网络使用等工具软件的基本知识与操作技能。</w:t>
            </w:r>
          </w:p>
          <w:p>
            <w:pPr>
              <w:keepNext w:val="0"/>
              <w:keepLines w:val="0"/>
              <w:pageBreakBefore w:val="0"/>
              <w:widowControl w:val="0"/>
              <w:kinsoku/>
              <w:wordWrap w:val="0"/>
              <w:overflowPunct/>
              <w:topLinePunct/>
              <w:autoSpaceDE/>
              <w:autoSpaceDN/>
              <w:bidi w:val="0"/>
              <w:adjustRightInd/>
              <w:snapToGrid/>
              <w:textAlignment w:val="auto"/>
              <w:rPr>
                <w:sz w:val="20"/>
                <w:szCs w:val="20"/>
              </w:rPr>
            </w:pPr>
            <w:r>
              <w:rPr>
                <w:rFonts w:hint="eastAsia" w:ascii="宋体" w:hAnsi="宋体"/>
                <w:b/>
                <w:kern w:val="0"/>
                <w:sz w:val="20"/>
                <w:szCs w:val="20"/>
              </w:rPr>
              <w:t>教学要求：</w:t>
            </w:r>
            <w:r>
              <w:rPr>
                <w:rFonts w:hint="eastAsia"/>
                <w:sz w:val="20"/>
                <w:szCs w:val="20"/>
              </w:rPr>
              <w:t>学生能达到两个层次：第一个层次通过浙江省计算机一级WINDOWS等级考试；第二个层次能具备计算机应用相关知识并熟练使用OFFICE等工具解决实际问题。</w:t>
            </w:r>
          </w:p>
        </w:tc>
        <w:tc>
          <w:tcPr>
            <w:tcW w:w="447"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b/>
                <w:bCs/>
                <w:kern w:val="0"/>
                <w:sz w:val="20"/>
                <w:szCs w:val="20"/>
              </w:rPr>
            </w:pPr>
            <w:r>
              <w:rPr>
                <w:rFonts w:hint="eastAsia" w:ascii="宋体" w:hAnsi="宋体"/>
                <w:kern w:val="0"/>
                <w:sz w:val="20"/>
                <w:szCs w:val="20"/>
                <w:lang w:val="en-US" w:eastAsia="zh-CN"/>
              </w:rPr>
              <w:t>4</w:t>
            </w:r>
            <w:r>
              <w:rPr>
                <w:rFonts w:hint="eastAsia" w:ascii="宋体" w:hAnsi="宋体"/>
                <w:kern w:val="0"/>
                <w:sz w:val="20"/>
                <w:szCs w:val="20"/>
              </w:rPr>
              <w:t>/48</w:t>
            </w:r>
          </w:p>
        </w:tc>
        <w:tc>
          <w:tcPr>
            <w:tcW w:w="336"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335" w:type="pct"/>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659"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sz w:val="20"/>
                <w:szCs w:val="20"/>
              </w:rPr>
              <w:t>思想道德修养与法律基础</w:t>
            </w:r>
          </w:p>
        </w:tc>
        <w:tc>
          <w:tcPr>
            <w:tcW w:w="1702"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知识目标：</w:t>
            </w:r>
            <w:r>
              <w:rPr>
                <w:rFonts w:hint="eastAsia" w:ascii="宋体" w:hAnsi="宋体"/>
                <w:kern w:val="0"/>
                <w:sz w:val="20"/>
                <w:szCs w:val="20"/>
              </w:rPr>
              <w:t>认识新时代的中国、科学的世界观、人生观、价值观相关理论；领会社会主义核心价值观；明确社会主义法律规范。</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能力目标：</w:t>
            </w:r>
            <w:r>
              <w:rPr>
                <w:rFonts w:hint="eastAsia" w:ascii="宋体" w:hAnsi="宋体"/>
                <w:kern w:val="0"/>
                <w:sz w:val="20"/>
                <w:szCs w:val="20"/>
              </w:rPr>
              <w:t>能够理论联系实际，具备分析和解决职业、家庭、社会公共生活等领域现实一般法律问题的能力。</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素质目标：</w:t>
            </w:r>
            <w:r>
              <w:rPr>
                <w:rFonts w:hint="eastAsia" w:ascii="宋体" w:hAnsi="宋体"/>
                <w:kern w:val="0"/>
                <w:sz w:val="20"/>
                <w:szCs w:val="20"/>
              </w:rPr>
              <w:t>形成对自身、家庭、职业、社会、国家的责任感和荣誉感。</w:t>
            </w:r>
          </w:p>
        </w:tc>
        <w:tc>
          <w:tcPr>
            <w:tcW w:w="1518"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主要内容：</w:t>
            </w:r>
            <w:r>
              <w:rPr>
                <w:rFonts w:hint="eastAsia" w:ascii="宋体" w:hAnsi="宋体"/>
                <w:kern w:val="0"/>
                <w:sz w:val="20"/>
                <w:szCs w:val="20"/>
              </w:rPr>
              <w:t>珍惜大学生活 开拓新的境界；追求远大理想 坚定崇高信念；继承爱国传统 弘扬中国精神；领悟人生真谛 创造人生价值；学习道德理论 注重道德实践；领会法律精神 理解法律体系。</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教学要求：</w:t>
            </w:r>
            <w:r>
              <w:rPr>
                <w:rFonts w:hint="eastAsia" w:ascii="宋体" w:hAnsi="宋体"/>
                <w:kern w:val="0"/>
                <w:sz w:val="20"/>
                <w:szCs w:val="20"/>
              </w:rPr>
              <w:t>按照教育部《新时代高校思想政治理论课教学工作基本要求》执行；教学方式采用线上线下混合式。</w:t>
            </w:r>
          </w:p>
        </w:tc>
        <w:tc>
          <w:tcPr>
            <w:tcW w:w="447"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ascii="宋体" w:hAnsi="宋体" w:eastAsia="宋体"/>
                <w:sz w:val="20"/>
                <w:szCs w:val="20"/>
                <w:lang w:val="en-US" w:eastAsia="zh-CN"/>
              </w:rPr>
            </w:pPr>
            <w:r>
              <w:rPr>
                <w:rFonts w:hint="eastAsia" w:ascii="宋体" w:hAnsi="宋体"/>
                <w:kern w:val="0"/>
                <w:sz w:val="20"/>
                <w:szCs w:val="20"/>
                <w:lang w:val="en-US" w:eastAsia="zh-CN"/>
              </w:rPr>
              <w:t>2</w:t>
            </w:r>
            <w:r>
              <w:rPr>
                <w:rFonts w:ascii="宋体" w:hAnsi="宋体"/>
                <w:kern w:val="0"/>
                <w:sz w:val="20"/>
                <w:szCs w:val="20"/>
              </w:rPr>
              <w:t>/</w:t>
            </w:r>
            <w:r>
              <w:rPr>
                <w:rFonts w:hint="eastAsia" w:ascii="宋体" w:hAnsi="宋体"/>
                <w:kern w:val="0"/>
                <w:sz w:val="20"/>
                <w:szCs w:val="20"/>
                <w:lang w:val="en-US" w:eastAsia="zh-CN"/>
              </w:rPr>
              <w:t>40</w:t>
            </w:r>
          </w:p>
        </w:tc>
        <w:tc>
          <w:tcPr>
            <w:tcW w:w="336"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335" w:type="pct"/>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659"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sz w:val="20"/>
                <w:szCs w:val="20"/>
              </w:rPr>
              <w:t>毛泽东思想和中国特色社会主义理论体系概论</w:t>
            </w:r>
          </w:p>
        </w:tc>
        <w:tc>
          <w:tcPr>
            <w:tcW w:w="1702"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知识目标：</w:t>
            </w:r>
            <w:r>
              <w:rPr>
                <w:rFonts w:hint="eastAsia" w:ascii="宋体" w:hAnsi="宋体"/>
                <w:kern w:val="0"/>
                <w:sz w:val="20"/>
                <w:szCs w:val="20"/>
              </w:rPr>
              <w:t>系统掌握毛泽东思想和中国特色社会主义理论体系的基本原理。</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能力目标：</w:t>
            </w:r>
            <w:r>
              <w:rPr>
                <w:rFonts w:hint="eastAsia" w:ascii="宋体" w:hAnsi="宋体"/>
                <w:kern w:val="0"/>
                <w:sz w:val="20"/>
                <w:szCs w:val="20"/>
              </w:rPr>
              <w:t>运用马克思主义的立场、观点和方法分析、解决实际生活问题。</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素质目标：</w:t>
            </w:r>
            <w:r>
              <w:rPr>
                <w:rFonts w:hint="eastAsia" w:ascii="宋体" w:hAnsi="宋体"/>
                <w:kern w:val="0"/>
                <w:sz w:val="20"/>
                <w:szCs w:val="20"/>
              </w:rPr>
              <w:t>正确认识肩负的历史使命，自觉维护国家和民族利益。</w:t>
            </w:r>
          </w:p>
        </w:tc>
        <w:tc>
          <w:tcPr>
            <w:tcW w:w="1518"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主要内容：</w:t>
            </w:r>
            <w:r>
              <w:rPr>
                <w:rFonts w:hint="eastAsia" w:ascii="宋体" w:hAnsi="宋体"/>
                <w:kern w:val="0"/>
                <w:sz w:val="20"/>
                <w:szCs w:val="20"/>
              </w:rPr>
              <w:t>毛泽东思想、邓小平理论、“三个代表”重要思想、科学发展观、习近平新时代中国特色社会主义思想的基本原理。</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教学要求：</w:t>
            </w:r>
            <w:r>
              <w:rPr>
                <w:rFonts w:hint="eastAsia" w:ascii="宋体" w:hAnsi="宋体"/>
                <w:kern w:val="0"/>
                <w:sz w:val="20"/>
                <w:szCs w:val="20"/>
              </w:rPr>
              <w:t>按照教育部《新时代高校思想政治理论课教学工作基本要求》执行；教学方式采用线上线下混合式。</w:t>
            </w:r>
          </w:p>
        </w:tc>
        <w:tc>
          <w:tcPr>
            <w:tcW w:w="447"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ascii="宋体" w:hAnsi="宋体" w:eastAsia="宋体"/>
                <w:sz w:val="20"/>
                <w:szCs w:val="20"/>
                <w:lang w:val="en-US" w:eastAsia="zh-CN"/>
              </w:rPr>
            </w:pPr>
            <w:r>
              <w:rPr>
                <w:rFonts w:hint="eastAsia" w:ascii="宋体" w:hAnsi="宋体"/>
                <w:sz w:val="20"/>
                <w:szCs w:val="20"/>
                <w:lang w:val="en-US" w:eastAsia="zh-CN"/>
              </w:rPr>
              <w:t>2</w:t>
            </w:r>
            <w:r>
              <w:rPr>
                <w:rFonts w:ascii="宋体" w:hAnsi="宋体"/>
                <w:sz w:val="20"/>
                <w:szCs w:val="20"/>
              </w:rPr>
              <w:t>/</w:t>
            </w:r>
            <w:r>
              <w:rPr>
                <w:rFonts w:hint="eastAsia" w:ascii="宋体" w:hAnsi="宋体"/>
                <w:sz w:val="20"/>
                <w:szCs w:val="20"/>
                <w:lang w:val="en-US" w:eastAsia="zh-CN"/>
              </w:rPr>
              <w:t>40</w:t>
            </w:r>
          </w:p>
        </w:tc>
        <w:tc>
          <w:tcPr>
            <w:tcW w:w="336"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jc w:val="center"/>
        </w:trPr>
        <w:tc>
          <w:tcPr>
            <w:tcW w:w="335" w:type="pct"/>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659"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sz w:val="20"/>
                <w:szCs w:val="20"/>
              </w:rPr>
              <w:t>军事理论</w:t>
            </w:r>
          </w:p>
        </w:tc>
        <w:tc>
          <w:tcPr>
            <w:tcW w:w="1702"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知识目标:</w:t>
            </w:r>
            <w:r>
              <w:rPr>
                <w:rFonts w:hint="eastAsia" w:ascii="宋体" w:hAnsi="宋体"/>
                <w:kern w:val="0"/>
                <w:sz w:val="20"/>
                <w:szCs w:val="20"/>
              </w:rPr>
              <w:t>了解我国的国防历史和现代化国防建设的现状，初步掌握我国军事理论的主要内容。</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能力目标:</w:t>
            </w:r>
            <w:r>
              <w:rPr>
                <w:rFonts w:hint="eastAsia" w:ascii="宋体" w:hAnsi="宋体"/>
                <w:kern w:val="0"/>
                <w:sz w:val="20"/>
                <w:szCs w:val="20"/>
              </w:rPr>
              <w:t>初步掌握世界军事及我国周边安全环境的分析能力；军事高技术的发展趋势对现代作战影响的判断能力。</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素质目标：</w:t>
            </w:r>
            <w:r>
              <w:rPr>
                <w:rFonts w:hint="eastAsia" w:ascii="宋体" w:hAnsi="宋体"/>
                <w:kern w:val="0"/>
                <w:sz w:val="20"/>
                <w:szCs w:val="20"/>
              </w:rPr>
              <w:t>增强国防观念和国家安全意识，提高政治思想觉悟，激发学生的爱国热情。</w:t>
            </w:r>
          </w:p>
        </w:tc>
        <w:tc>
          <w:tcPr>
            <w:tcW w:w="1518"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主要内容：</w:t>
            </w:r>
            <w:r>
              <w:rPr>
                <w:rFonts w:hint="eastAsia" w:ascii="宋体" w:hAnsi="宋体"/>
                <w:kern w:val="0"/>
                <w:sz w:val="20"/>
                <w:szCs w:val="20"/>
              </w:rPr>
              <w:t>中国国防、国家安全、军事思想、现代战争、信息化装备。</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教学要求：</w:t>
            </w:r>
            <w:r>
              <w:rPr>
                <w:rFonts w:hint="eastAsia" w:ascii="宋体" w:hAnsi="宋体"/>
                <w:kern w:val="0"/>
                <w:sz w:val="20"/>
                <w:szCs w:val="20"/>
              </w:rPr>
              <w:t>本课程采用线上与线下教学相结合的方式，总课时为36学时，其中28学时为在线视频教学，8学时为见面课教学进行相关国防军事理论与实践相结合的宣传教育。</w:t>
            </w:r>
          </w:p>
        </w:tc>
        <w:tc>
          <w:tcPr>
            <w:tcW w:w="447"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r>
              <w:rPr>
                <w:rFonts w:ascii="宋体" w:hAnsi="宋体"/>
                <w:sz w:val="20"/>
                <w:szCs w:val="20"/>
              </w:rPr>
              <w:t>2/36</w:t>
            </w:r>
          </w:p>
        </w:tc>
        <w:tc>
          <w:tcPr>
            <w:tcW w:w="336"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jc w:val="center"/>
        </w:trPr>
        <w:tc>
          <w:tcPr>
            <w:tcW w:w="335" w:type="pct"/>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659"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sz w:val="20"/>
                <w:szCs w:val="20"/>
              </w:rPr>
              <w:t>军事技能训练</w:t>
            </w:r>
          </w:p>
        </w:tc>
        <w:tc>
          <w:tcPr>
            <w:tcW w:w="1702"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知识目标：</w:t>
            </w:r>
            <w:r>
              <w:rPr>
                <w:rFonts w:hint="eastAsia" w:ascii="宋体" w:hAnsi="宋体"/>
                <w:kern w:val="0"/>
                <w:sz w:val="20"/>
                <w:szCs w:val="20"/>
              </w:rPr>
              <w:t>掌握军事基础知识和基本军事技能。</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能力目标：</w:t>
            </w:r>
            <w:r>
              <w:rPr>
                <w:rFonts w:hint="eastAsia" w:ascii="宋体" w:hAnsi="宋体"/>
                <w:kern w:val="0"/>
                <w:sz w:val="20"/>
                <w:szCs w:val="20"/>
              </w:rPr>
              <w:t>掌握队列操练的基本技能。</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素质目标：</w:t>
            </w:r>
            <w:r>
              <w:rPr>
                <w:rFonts w:hint="eastAsia" w:ascii="宋体" w:hAnsi="宋体"/>
                <w:kern w:val="0"/>
                <w:sz w:val="20"/>
                <w:szCs w:val="20"/>
              </w:rPr>
              <w:t>增强国防观念、国家安全意识和忧患危机意识，提高综合国防素质。</w:t>
            </w:r>
          </w:p>
        </w:tc>
        <w:tc>
          <w:tcPr>
            <w:tcW w:w="1518"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主要内容：</w:t>
            </w:r>
            <w:r>
              <w:rPr>
                <w:rFonts w:hint="eastAsia" w:ascii="宋体" w:hAnsi="宋体"/>
                <w:kern w:val="0"/>
                <w:sz w:val="20"/>
                <w:szCs w:val="20"/>
              </w:rPr>
              <w:t>共同条令教育与训练、射击与战术训练、防卫技能与战时防护训练、战备基础与应用训练等。</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kern w:val="0"/>
                <w:sz w:val="20"/>
                <w:szCs w:val="20"/>
              </w:rPr>
            </w:pPr>
            <w:r>
              <w:rPr>
                <w:rFonts w:hint="eastAsia" w:ascii="宋体" w:hAnsi="宋体"/>
                <w:b/>
                <w:kern w:val="0"/>
                <w:sz w:val="20"/>
                <w:szCs w:val="20"/>
              </w:rPr>
              <w:t>教学要求：</w:t>
            </w:r>
            <w:r>
              <w:rPr>
                <w:rFonts w:hint="eastAsia" w:ascii="宋体" w:hAnsi="宋体"/>
                <w:kern w:val="0"/>
                <w:sz w:val="20"/>
                <w:szCs w:val="20"/>
              </w:rPr>
              <w:t>开展2周，要求学生军事技能训练须具备充足的场地、训练设备；实践教学。</w:t>
            </w:r>
          </w:p>
        </w:tc>
        <w:tc>
          <w:tcPr>
            <w:tcW w:w="447"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r>
              <w:rPr>
                <w:rFonts w:ascii="宋体" w:hAnsi="宋体"/>
                <w:sz w:val="20"/>
                <w:szCs w:val="20"/>
              </w:rPr>
              <w:t>2/112</w:t>
            </w:r>
          </w:p>
        </w:tc>
        <w:tc>
          <w:tcPr>
            <w:tcW w:w="336"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jc w:val="center"/>
        </w:trPr>
        <w:tc>
          <w:tcPr>
            <w:tcW w:w="335" w:type="pct"/>
            <w:vMerge w:val="continue"/>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kern w:val="0"/>
                <w:sz w:val="20"/>
                <w:szCs w:val="20"/>
              </w:rPr>
            </w:pPr>
          </w:p>
        </w:tc>
        <w:tc>
          <w:tcPr>
            <w:tcW w:w="659"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sz w:val="20"/>
                <w:szCs w:val="20"/>
              </w:rPr>
              <w:t>劳动实践</w:t>
            </w:r>
          </w:p>
        </w:tc>
        <w:tc>
          <w:tcPr>
            <w:tcW w:w="1702"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b/>
                <w:sz w:val="20"/>
                <w:szCs w:val="20"/>
              </w:rPr>
              <w:t>知识目标：</w:t>
            </w:r>
            <w:r>
              <w:rPr>
                <w:rFonts w:hint="eastAsia" w:ascii="宋体" w:hAnsi="宋体"/>
                <w:sz w:val="20"/>
                <w:szCs w:val="20"/>
              </w:rPr>
              <w:t>理解和形成马克思主义劳动观，树立劳动最光荣的观念，懂得尊重普通劳动者，培养勤俭、奋斗、创新、奉献的劳动精神，促进全面协调发展。</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b/>
                <w:sz w:val="20"/>
                <w:szCs w:val="20"/>
              </w:rPr>
              <w:t>能力目标：</w:t>
            </w:r>
            <w:r>
              <w:rPr>
                <w:rFonts w:hint="eastAsia" w:ascii="宋体" w:hAnsi="宋体"/>
                <w:sz w:val="20"/>
                <w:szCs w:val="20"/>
              </w:rPr>
              <w:t>能够加强动手能力，具备满足生存发展需要的基本劳动能力，形成良好的劳动习惯。</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b/>
                <w:sz w:val="20"/>
                <w:szCs w:val="20"/>
              </w:rPr>
              <w:t>素质目标：</w:t>
            </w:r>
            <w:r>
              <w:rPr>
                <w:rFonts w:hint="eastAsia" w:ascii="宋体" w:hAnsi="宋体"/>
                <w:sz w:val="20"/>
                <w:szCs w:val="20"/>
              </w:rPr>
              <w:t>认识到劳动的重要性，体味劳动的艰辛，收获劳动的快乐，能树立正确的劳动观，形成正确的世界观、人生观、价值观。</w:t>
            </w:r>
          </w:p>
        </w:tc>
        <w:tc>
          <w:tcPr>
            <w:tcW w:w="1518" w:type="pct"/>
            <w:vAlign w:val="center"/>
          </w:tcPr>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b/>
                <w:sz w:val="20"/>
                <w:szCs w:val="20"/>
              </w:rPr>
              <w:t>主要内容：</w:t>
            </w:r>
            <w:r>
              <w:rPr>
                <w:rFonts w:hint="eastAsia" w:ascii="宋体" w:hAnsi="宋体"/>
                <w:sz w:val="20"/>
                <w:szCs w:val="20"/>
              </w:rPr>
              <w:t>围绕创新创业，结合学科和专业积极开展实习实训、专业服务、社会实践、勤工助学等。</w:t>
            </w:r>
          </w:p>
          <w:p>
            <w:pPr>
              <w:keepNext w:val="0"/>
              <w:keepLines w:val="0"/>
              <w:pageBreakBefore w:val="0"/>
              <w:widowControl w:val="0"/>
              <w:kinsoku/>
              <w:wordWrap w:val="0"/>
              <w:overflowPunct/>
              <w:topLinePunct/>
              <w:autoSpaceDE/>
              <w:autoSpaceDN/>
              <w:bidi w:val="0"/>
              <w:adjustRightInd/>
              <w:snapToGrid/>
              <w:jc w:val="left"/>
              <w:textAlignment w:val="auto"/>
              <w:rPr>
                <w:rFonts w:ascii="宋体" w:hAnsi="宋体"/>
                <w:sz w:val="20"/>
                <w:szCs w:val="20"/>
              </w:rPr>
            </w:pPr>
            <w:r>
              <w:rPr>
                <w:rFonts w:hint="eastAsia" w:ascii="宋体" w:hAnsi="宋体"/>
                <w:b/>
                <w:sz w:val="20"/>
                <w:szCs w:val="20"/>
              </w:rPr>
              <w:t>教学要求：</w:t>
            </w:r>
            <w:r>
              <w:rPr>
                <w:rFonts w:hint="eastAsia" w:ascii="宋体" w:hAnsi="宋体"/>
                <w:sz w:val="20"/>
                <w:szCs w:val="20"/>
              </w:rPr>
              <w:t>根据中共中央国务院发布《关于全面加强新时代大中小学劳动教育的意见》，以实习实训课为主要载体开展劳动教育，以集体劳动形式，组织班级走进生活，走近劳动，使学生掌握劳动技能。</w:t>
            </w:r>
          </w:p>
        </w:tc>
        <w:tc>
          <w:tcPr>
            <w:tcW w:w="447"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default" w:ascii="宋体" w:hAnsi="宋体" w:eastAsia="宋体"/>
                <w:sz w:val="20"/>
                <w:szCs w:val="20"/>
                <w:lang w:val="en-US" w:eastAsia="zh-CN"/>
              </w:rPr>
            </w:pPr>
            <w:r>
              <w:rPr>
                <w:rFonts w:ascii="宋体" w:hAnsi="宋体"/>
                <w:sz w:val="20"/>
                <w:szCs w:val="20"/>
              </w:rPr>
              <w:t>1/</w:t>
            </w:r>
            <w:r>
              <w:rPr>
                <w:rFonts w:hint="eastAsia" w:ascii="宋体" w:hAnsi="宋体"/>
                <w:sz w:val="20"/>
                <w:szCs w:val="20"/>
                <w:lang w:val="en-US" w:eastAsia="zh-CN"/>
              </w:rPr>
              <w:t>20</w:t>
            </w:r>
          </w:p>
        </w:tc>
        <w:tc>
          <w:tcPr>
            <w:tcW w:w="336" w:type="pct"/>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ascii="宋体" w:hAnsi="宋体"/>
                <w:sz w:val="20"/>
                <w:szCs w:val="20"/>
              </w:rPr>
            </w:pPr>
          </w:p>
        </w:tc>
      </w:tr>
    </w:tbl>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keepLines/>
        <w:numPr>
          <w:ilvl w:val="0"/>
          <w:numId w:val="0"/>
        </w:numPr>
        <w:snapToGrid w:val="0"/>
        <w:spacing w:line="360" w:lineRule="auto"/>
        <w:outlineLvl w:val="2"/>
        <w:rPr>
          <w:rFonts w:hint="eastAsia" w:ascii="宋体" w:hAnsi="宋体" w:cs="宋体"/>
          <w:b/>
          <w:bCs/>
          <w:kern w:val="44"/>
          <w:sz w:val="24"/>
        </w:rPr>
      </w:pPr>
      <w:r>
        <w:rPr>
          <w:rFonts w:hint="eastAsia" w:ascii="宋体" w:hAnsi="宋体" w:cs="宋体"/>
          <w:b/>
          <w:bCs/>
          <w:kern w:val="44"/>
          <w:sz w:val="24"/>
          <w:lang w:val="en-US" w:eastAsia="zh-CN"/>
        </w:rPr>
        <w:t>3.</w:t>
      </w:r>
      <w:r>
        <w:rPr>
          <w:rFonts w:hint="eastAsia" w:ascii="宋体" w:hAnsi="宋体" w:cs="宋体"/>
          <w:b/>
          <w:bCs/>
          <w:kern w:val="44"/>
          <w:sz w:val="24"/>
        </w:rPr>
        <w:t>专业</w:t>
      </w:r>
      <w:r>
        <w:rPr>
          <w:rFonts w:hint="eastAsia" w:ascii="宋体" w:hAnsi="宋体" w:cs="宋体"/>
          <w:b/>
          <w:bCs/>
          <w:kern w:val="44"/>
          <w:sz w:val="24"/>
          <w:lang w:val="en-US" w:eastAsia="zh-CN"/>
        </w:rPr>
        <w:t>融通</w:t>
      </w:r>
      <w:r>
        <w:rPr>
          <w:rFonts w:hint="eastAsia" w:ascii="宋体" w:hAnsi="宋体" w:cs="宋体"/>
          <w:b/>
          <w:bCs/>
          <w:kern w:val="44"/>
          <w:sz w:val="24"/>
        </w:rPr>
        <w:t>课程</w:t>
      </w:r>
    </w:p>
    <w:tbl>
      <w:tblPr>
        <w:tblStyle w:val="24"/>
        <w:tblW w:w="9757" w:type="dxa"/>
        <w:tblInd w:w="-59" w:type="dxa"/>
        <w:shd w:val="clear" w:color="auto" w:fill="auto"/>
        <w:tblLayout w:type="fixed"/>
        <w:tblCellMar>
          <w:top w:w="0" w:type="dxa"/>
          <w:left w:w="108" w:type="dxa"/>
          <w:bottom w:w="0" w:type="dxa"/>
          <w:right w:w="108" w:type="dxa"/>
        </w:tblCellMar>
      </w:tblPr>
      <w:tblGrid>
        <w:gridCol w:w="700"/>
        <w:gridCol w:w="1214"/>
        <w:gridCol w:w="3372"/>
        <w:gridCol w:w="2871"/>
        <w:gridCol w:w="929"/>
        <w:gridCol w:w="671"/>
      </w:tblGrid>
      <w:tr>
        <w:tblPrEx>
          <w:shd w:val="clear" w:color="auto" w:fill="auto"/>
          <w:tblCellMar>
            <w:top w:w="0" w:type="dxa"/>
            <w:left w:w="108" w:type="dxa"/>
            <w:bottom w:w="0" w:type="dxa"/>
            <w:right w:w="108" w:type="dxa"/>
          </w:tblCellMar>
        </w:tblPrEx>
        <w:trPr>
          <w:trHeight w:val="516" w:hRule="atLeast"/>
          <w:tblHeader/>
        </w:trPr>
        <w:tc>
          <w:tcPr>
            <w:tcW w:w="700"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课程性质</w:t>
            </w:r>
          </w:p>
        </w:tc>
        <w:tc>
          <w:tcPr>
            <w:tcW w:w="1214" w:type="dxa"/>
            <w:tcBorders>
              <w:top w:val="single" w:color="000000" w:sz="8" w:space="0"/>
              <w:left w:val="nil"/>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课程名称</w:t>
            </w:r>
          </w:p>
        </w:tc>
        <w:tc>
          <w:tcPr>
            <w:tcW w:w="3372" w:type="dxa"/>
            <w:tcBorders>
              <w:top w:val="single" w:color="000000" w:sz="8" w:space="0"/>
              <w:left w:val="nil"/>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课程目标</w:t>
            </w:r>
          </w:p>
        </w:tc>
        <w:tc>
          <w:tcPr>
            <w:tcW w:w="2871" w:type="dxa"/>
            <w:tcBorders>
              <w:top w:val="single" w:color="000000" w:sz="8" w:space="0"/>
              <w:left w:val="nil"/>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主要教学内容与要求</w:t>
            </w:r>
          </w:p>
        </w:tc>
        <w:tc>
          <w:tcPr>
            <w:tcW w:w="929" w:type="dxa"/>
            <w:tcBorders>
              <w:top w:val="single" w:color="000000" w:sz="8" w:space="0"/>
              <w:left w:val="nil"/>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学分/学时</w:t>
            </w:r>
          </w:p>
        </w:tc>
        <w:tc>
          <w:tcPr>
            <w:tcW w:w="671" w:type="dxa"/>
            <w:tcBorders>
              <w:top w:val="single" w:color="000000" w:sz="8" w:space="0"/>
              <w:left w:val="nil"/>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shd w:val="clear" w:color="auto" w:fill="auto"/>
          <w:tblCellMar>
            <w:top w:w="0" w:type="dxa"/>
            <w:left w:w="108" w:type="dxa"/>
            <w:bottom w:w="0" w:type="dxa"/>
            <w:right w:w="108" w:type="dxa"/>
          </w:tblCellMar>
        </w:tblPrEx>
        <w:trPr>
          <w:trHeight w:val="2703" w:hRule="atLeast"/>
        </w:trPr>
        <w:tc>
          <w:tcPr>
            <w:tcW w:w="70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121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工匠精神</w:t>
            </w:r>
          </w:p>
        </w:tc>
        <w:tc>
          <w:tcPr>
            <w:tcW w:w="3372"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2"/>
                <w:sz w:val="20"/>
                <w:szCs w:val="20"/>
                <w:lang w:val="en-US" w:eastAsia="zh-CN" w:bidi="ar"/>
              </w:rPr>
              <w:t>了解中国的工匠精神及其历史演变；学习“大国工匠”事迹；认识“工匠精神”价值。</w:t>
            </w:r>
          </w:p>
        </w:tc>
        <w:tc>
          <w:tcPr>
            <w:tcW w:w="2871"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2"/>
                <w:sz w:val="20"/>
                <w:szCs w:val="20"/>
                <w:lang w:val="en-US" w:eastAsia="zh-CN" w:bidi="ar"/>
              </w:rPr>
              <w:t>课程设计“匠心筑梦：继往开来薪火传；工匠之魂：执着专业，一生只做一件事；工匠之道：坚持梦想，打开成功之门的钥匙；工匠之术：精益求精，让工作成为一种修行”四个模块，整合、序化教学内容。</w:t>
            </w:r>
          </w:p>
        </w:tc>
        <w:tc>
          <w:tcPr>
            <w:tcW w:w="92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671" w:type="dxa"/>
            <w:vMerge w:val="restart"/>
            <w:tcBorders>
              <w:top w:val="single" w:color="000000" w:sz="8" w:space="0"/>
              <w:left w:val="nil"/>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125"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2"/>
                <w:sz w:val="20"/>
                <w:szCs w:val="20"/>
                <w:lang w:val="en-US" w:eastAsia="zh-CN" w:bidi="ar"/>
              </w:rPr>
              <w:t>引导学生积极参与课内外实践，如6S管理、科技创新、卓越人才和订单班培养，促进提高其专业技能和综合素质能力。</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2"/>
                <w:sz w:val="20"/>
                <w:szCs w:val="20"/>
                <w:lang w:val="en-US" w:eastAsia="zh-CN" w:bidi="ar"/>
              </w:rPr>
              <w:t>通过自编《工匠精神》教育读本，将课程资源应用在“超星学习通”上，采用线上视频学习+线下论坛（讲座）的混合式教学模式。</w:t>
            </w:r>
          </w:p>
        </w:tc>
        <w:tc>
          <w:tcPr>
            <w:tcW w:w="92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single" w:color="000000" w:sz="8" w:space="0"/>
              <w:left w:val="nil"/>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911"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2"/>
                <w:sz w:val="20"/>
                <w:szCs w:val="20"/>
                <w:lang w:val="en-US" w:eastAsia="zh-CN" w:bidi="ar"/>
              </w:rPr>
              <w:t>具有良好的品质意识；具有良好的创新意识；养成较好的敬业精神和团队合作精神。</w:t>
            </w:r>
          </w:p>
        </w:tc>
        <w:tc>
          <w:tcPr>
            <w:tcW w:w="2871"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2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single" w:color="000000" w:sz="8" w:space="0"/>
              <w:left w:val="nil"/>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410"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电工基本电路安装与调试</w:t>
            </w: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2"/>
                <w:sz w:val="20"/>
                <w:szCs w:val="20"/>
                <w:lang w:val="en-US" w:eastAsia="zh-CN" w:bidi="ar"/>
              </w:rPr>
              <w:t>掌握电路分析技术和电工技术的基础理论知识；掌握电工技术必要的基本理论、基本知识和基本技能。了解电路设计方法。</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2"/>
                <w:sz w:val="20"/>
                <w:szCs w:val="20"/>
                <w:lang w:val="en-US" w:eastAsia="zh-CN" w:bidi="ar"/>
              </w:rPr>
              <w:t>直流电路的概念及分析，单相正弦交流电路，三相交流电路，电气控制。晶体管直流稳压电源原理、控制和应用；晶体管及应用电路；集成运放、反馈的认知及应用电路；功率放大器的认知及应用电路；正弦波振荡器的认知及应用电路；数字逻辑基础；组合逻辑电路和时序原理电路的分析和设计。</w:t>
            </w:r>
          </w:p>
        </w:tc>
        <w:tc>
          <w:tcPr>
            <w:tcW w:w="929"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6/120</w:t>
            </w:r>
          </w:p>
        </w:tc>
        <w:tc>
          <w:tcPr>
            <w:tcW w:w="6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128"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2"/>
                <w:sz w:val="20"/>
                <w:szCs w:val="20"/>
                <w:lang w:val="en-US" w:eastAsia="zh-CN" w:bidi="ar"/>
              </w:rPr>
              <w:t>掌握直流电路、交流电路的基本概念、定理。具有一定的分析、计算能力；具备常用继电控制系统的分析、设计能力；具备中小型现代化设备的电气维修能力。提高协作水平，具备良好的职业素养。学会正确使用常用电工电子仪器仪表；具备电路制作、安装、调试和排除故障能力。</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2"/>
                <w:sz w:val="20"/>
                <w:szCs w:val="20"/>
                <w:lang w:val="en-US" w:eastAsia="zh-CN" w:bidi="ar"/>
              </w:rPr>
              <w:t>通过该课程的学习，使学生掌握电路基础、电气控制的基本知识。为后续专业课程的学习提供必备的理论知识。并通过实训，使学生具备一定的电工技能，获取低压电工作业职业资格证书。要求理论讲解和实践操作相结合，“线上+线下”共存的教学模式，使课程达到“教、学、做”一体化。</w:t>
            </w: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717"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2"/>
                <w:sz w:val="20"/>
                <w:szCs w:val="20"/>
                <w:lang w:val="en-US" w:eastAsia="zh-CN" w:bidi="ar"/>
              </w:rPr>
              <w:t>为学习后续课程以及从事与本专业有关的工程技术等工作打下一定的基础，并养成良好的职业素质。</w:t>
            </w:r>
          </w:p>
        </w:tc>
        <w:tc>
          <w:tcPr>
            <w:tcW w:w="2871"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655"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机械基础</w:t>
            </w: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2"/>
                <w:sz w:val="20"/>
                <w:szCs w:val="20"/>
                <w:lang w:val="en-US" w:eastAsia="zh-CN" w:bidi="ar"/>
              </w:rPr>
              <w:t>掌握城轨机械基础知识，能看懂零件图纸，熟悉常用工程材料的应用，掌握平面连杆机构、凸轮机构等常见机构，掌握齿轮、挠性等常用机械传动，掌握螺纹、键连接等常用机械连接，了解钳工和机械加工等。</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2"/>
                <w:sz w:val="20"/>
                <w:szCs w:val="20"/>
                <w:lang w:val="en-US" w:eastAsia="zh-CN" w:bidi="ar"/>
              </w:rPr>
              <w:t>正投影认知，三视图、机件的剖视图和断面图的绘制与表达，零件图及技术要求认知，常用工程材料认知，平面机构、平面连杆机构、凸轮机构的认知，齿轮、带传动和链传动等常用机械传动认知，常用机械连接认知、钳工技能知识等。</w:t>
            </w:r>
          </w:p>
        </w:tc>
        <w:tc>
          <w:tcPr>
            <w:tcW w:w="929"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671"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90"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2"/>
                <w:sz w:val="20"/>
                <w:szCs w:val="20"/>
                <w:lang w:val="en-US" w:eastAsia="zh-CN" w:bidi="ar"/>
              </w:rPr>
              <w:t>初步形成空间想象力和空间构思的能力，能识读和绘制零件图和装配图，具有查阅标准、规范、手册、图册等技术资料的能力。</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2"/>
                <w:sz w:val="20"/>
                <w:szCs w:val="20"/>
                <w:lang w:val="en-US" w:eastAsia="zh-CN" w:bidi="ar"/>
              </w:rPr>
              <w:t>着重阐明识读和绘制机械图样的基本理论和方法，突出制图为主、读画结合的特点，注重动手能力训练。采用理论知识模块化结合实践项目，理实结合，任务驱动，教、学、做一体化教学模式。</w:t>
            </w: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205"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2"/>
                <w:sz w:val="20"/>
                <w:szCs w:val="20"/>
                <w:lang w:val="en-US" w:eastAsia="zh-CN" w:bidi="ar"/>
              </w:rPr>
              <w:t>认识各种标准件和通用零部件，具备应用标准、规范、手册、图册和查阅使用有关技术资料开展机械零件的设计和制图。</w:t>
            </w:r>
          </w:p>
        </w:tc>
        <w:tc>
          <w:tcPr>
            <w:tcW w:w="2871"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200"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AutoCAD</w:t>
            </w: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2"/>
                <w:sz w:val="20"/>
                <w:szCs w:val="20"/>
                <w:lang w:val="en-US" w:eastAsia="zh-CN" w:bidi="ar"/>
              </w:rPr>
              <w:t>熟悉AutoCAD界面、绘图环境，掌握绘制简单图形的方法。</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2"/>
                <w:sz w:val="20"/>
                <w:szCs w:val="20"/>
                <w:lang w:val="en-US" w:eastAsia="zh-CN" w:bidi="ar"/>
              </w:rPr>
              <w:t>AutoCAD界面认知及图形文件管理，绘图工具认知及简单平面图形的绘制，编辑工具认知及复杂平面图形的绘制。</w:t>
            </w:r>
          </w:p>
        </w:tc>
        <w:tc>
          <w:tcPr>
            <w:tcW w:w="929"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671"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061"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2"/>
                <w:sz w:val="20"/>
                <w:szCs w:val="20"/>
                <w:lang w:val="en-US" w:eastAsia="zh-CN" w:bidi="ar"/>
              </w:rPr>
              <w:t>能正确设置AutoCAD运行环境，绘制平面图形；能够绘制简单及中等复杂难度的零件图，并正确标注；能绘制简单装配图并正确标注；能够对机械图样正确打印输出。</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2"/>
                <w:sz w:val="20"/>
                <w:szCs w:val="20"/>
                <w:lang w:val="en-US" w:eastAsia="zh-CN" w:bidi="ar"/>
              </w:rPr>
              <w:t>结合机械制图课程，以机械工程图的二维平面绘图为主，使学生熟练掌握用AutoCAD绘制二维工程图，了解建立标准件和常用件图库的方法。</w:t>
            </w: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750"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2"/>
                <w:sz w:val="20"/>
                <w:szCs w:val="20"/>
                <w:lang w:val="en-US" w:eastAsia="zh-CN" w:bidi="ar"/>
              </w:rPr>
              <w:t>培养学生的沟通能力及团队协作精神，分析问题、解决问题的能力，查错、纠错的能力。</w:t>
            </w:r>
          </w:p>
        </w:tc>
        <w:tc>
          <w:tcPr>
            <w:tcW w:w="2871"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616"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电子基本电路装接与调试</w:t>
            </w: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2"/>
                <w:sz w:val="20"/>
                <w:szCs w:val="20"/>
                <w:lang w:val="en-US" w:eastAsia="zh-CN" w:bidi="ar"/>
              </w:rPr>
              <w:t>了解电子元器件的性能，掌握简单电子线路的工作原理，能看懂蒸馏电路、典型稳压电源的原理图，理解典型放大电路，了解集成电路基本常识。</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2"/>
                <w:sz w:val="20"/>
                <w:szCs w:val="20"/>
                <w:lang w:val="en-US" w:eastAsia="zh-CN" w:bidi="ar"/>
              </w:rPr>
              <w:t>各类元器件，各类电子实训设备，根据电路图连接各种元器件等。</w:t>
            </w:r>
          </w:p>
        </w:tc>
        <w:tc>
          <w:tcPr>
            <w:tcW w:w="929"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6/120</w:t>
            </w:r>
          </w:p>
        </w:tc>
        <w:tc>
          <w:tcPr>
            <w:tcW w:w="67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349"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2"/>
                <w:sz w:val="20"/>
                <w:szCs w:val="20"/>
                <w:lang w:val="en-US" w:eastAsia="zh-CN" w:bidi="ar"/>
              </w:rPr>
              <w:t>能识别与检测常用电子元器件，会分析较为简单的电子电路，会使用万用表等常用电工仪表和电子仪器表来检测电子电路，初步具备组装和调试电子电路的能力。</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2"/>
                <w:sz w:val="20"/>
                <w:szCs w:val="20"/>
                <w:lang w:val="en-US" w:eastAsia="zh-CN" w:bidi="ar"/>
              </w:rPr>
              <w:t>提高学生学习能力，了解电学基础知识，通过学习常用电子元器件，提高学生对电学能力、分析处理能力以及设备检测能力。</w:t>
            </w: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233"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2"/>
                <w:sz w:val="20"/>
                <w:szCs w:val="20"/>
                <w:lang w:val="en-US" w:eastAsia="zh-CN" w:bidi="ar"/>
              </w:rPr>
              <w:t>养成认真细致、实事求是、积极探索的科学态度和工作作风，形成理论联系实际、自主学习和探索创新的良好习惯。</w:t>
            </w:r>
          </w:p>
        </w:tc>
        <w:tc>
          <w:tcPr>
            <w:tcW w:w="2871" w:type="dxa"/>
            <w:tcBorders>
              <w:top w:val="nil"/>
              <w:left w:val="nil"/>
              <w:bottom w:val="single" w:color="auto" w:sz="4"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322"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restart"/>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工厂电气控制设备</w:t>
            </w:r>
          </w:p>
        </w:tc>
        <w:tc>
          <w:tcPr>
            <w:tcW w:w="3372"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2"/>
                <w:sz w:val="20"/>
                <w:szCs w:val="20"/>
                <w:lang w:val="en-US" w:eastAsia="zh-CN" w:bidi="ar"/>
              </w:rPr>
              <w:t>掌握电工安全生产知识、电工基础知识、常用仪器仪表使用方法、常用电工工具使用方法、常用低压电器应用技术。掌握电气防火与防爆、触电急救、防雷防静电等技术。</w:t>
            </w:r>
          </w:p>
        </w:tc>
        <w:tc>
          <w:tcPr>
            <w:tcW w:w="28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2"/>
                <w:sz w:val="20"/>
                <w:szCs w:val="20"/>
                <w:lang w:val="en-US" w:eastAsia="zh-CN" w:bidi="ar"/>
              </w:rPr>
              <w:t>电工基础知识、常用电工工具与仪表的使用方法、低压电工作业、电工安全生产知识、触电急救技术和电气防火防爆防雷防静电知识等。</w:t>
            </w:r>
          </w:p>
        </w:tc>
        <w:tc>
          <w:tcPr>
            <w:tcW w:w="929" w:type="dxa"/>
            <w:vMerge w:val="restar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671"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50"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2" w:type="dxa"/>
            <w:tcBorders>
              <w:top w:val="single" w:color="auto" w:sz="4"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2"/>
                <w:sz w:val="20"/>
                <w:szCs w:val="20"/>
                <w:lang w:val="en-US" w:eastAsia="zh-CN" w:bidi="ar"/>
              </w:rPr>
              <w:t>具备低压电工安全生产知识；具备仪器仪表使用的能力；具备电气防火与防爆的能力；具备触电急救、防雷防静电的能力。</w:t>
            </w:r>
          </w:p>
        </w:tc>
        <w:tc>
          <w:tcPr>
            <w:tcW w:w="2871" w:type="dxa"/>
            <w:tcBorders>
              <w:top w:val="single" w:color="auto" w:sz="4"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2"/>
                <w:sz w:val="20"/>
                <w:szCs w:val="20"/>
                <w:lang w:val="en-US" w:eastAsia="zh-CN" w:bidi="ar"/>
              </w:rPr>
              <w:t>掌握触电急救、电气火灾灭火等事故的应急处理能力。为后续专业课程的学习提供必备的理论知识，安全实操技能。并通过实训，使学生具备一定的电工技能，获取低压电工作业证书（特种作业操作证）。</w:t>
            </w: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630"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2"/>
                <w:sz w:val="20"/>
                <w:szCs w:val="20"/>
                <w:lang w:val="en-US" w:eastAsia="zh-CN" w:bidi="ar"/>
              </w:rPr>
              <w:t>培养从事城市轨道交通运营管理机电设备的使用和技术管理工作。</w:t>
            </w:r>
          </w:p>
        </w:tc>
        <w:tc>
          <w:tcPr>
            <w:tcW w:w="2871"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568"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钳工</w:t>
            </w: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2"/>
                <w:sz w:val="20"/>
                <w:szCs w:val="20"/>
                <w:lang w:val="en-US" w:eastAsia="zh-CN" w:bidi="ar"/>
              </w:rPr>
              <w:t>开展典型零件的钳工基础训练，达到钳工的初级能力要求。</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2"/>
                <w:sz w:val="20"/>
                <w:szCs w:val="20"/>
                <w:lang w:val="en-US" w:eastAsia="zh-CN" w:bidi="ar"/>
              </w:rPr>
              <w:t>划线、凿削、锯割、锉削、钻孔、攻丝和套丝、弯曲与矫正、研磨、锉配合和装配知识。</w:t>
            </w:r>
          </w:p>
        </w:tc>
        <w:tc>
          <w:tcPr>
            <w:tcW w:w="929"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671"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511"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2"/>
                <w:sz w:val="20"/>
                <w:szCs w:val="20"/>
                <w:lang w:val="en-US" w:eastAsia="zh-CN" w:bidi="ar"/>
              </w:rPr>
              <w:t>掌握划线、凿削、锯割、锉削、钻孔、攻丝和套丝、弯曲与矫正、研磨、锉配合和装配。</w:t>
            </w:r>
          </w:p>
        </w:tc>
        <w:tc>
          <w:tcPr>
            <w:tcW w:w="2871"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2"/>
                <w:sz w:val="20"/>
                <w:szCs w:val="20"/>
                <w:lang w:val="en-US" w:eastAsia="zh-CN" w:bidi="ar"/>
              </w:rPr>
              <w:t>使学生了解机械加工生产过程，获得机械制造技术的基本实践知识，得到的基本操作技能训练，为学习后续课程和将来从事相关技术工作奠定实践基础。</w:t>
            </w:r>
          </w:p>
        </w:tc>
        <w:tc>
          <w:tcPr>
            <w:tcW w:w="92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946" w:hRule="atLeast"/>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37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2"/>
                <w:sz w:val="20"/>
                <w:szCs w:val="20"/>
                <w:lang w:val="en-US" w:eastAsia="zh-CN" w:bidi="ar"/>
              </w:rPr>
              <w:t>了解常见零件的加工工艺，熟悉所用设备的构造、原理和使用方法等，为后继专业课程的学习提供工程背景知识。</w:t>
            </w:r>
          </w:p>
        </w:tc>
        <w:tc>
          <w:tcPr>
            <w:tcW w:w="2871" w:type="dxa"/>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29"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1"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946" w:hRule="atLeast"/>
        </w:trPr>
        <w:tc>
          <w:tcPr>
            <w:tcW w:w="7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eastAsia="宋体" w:cs="宋体"/>
                <w:sz w:val="20"/>
                <w:szCs w:val="20"/>
                <w:lang w:val="en-US" w:eastAsia="zh-CN"/>
              </w:rPr>
              <w:t>机床电气故障诊断与维修</w:t>
            </w:r>
          </w:p>
        </w:tc>
        <w:tc>
          <w:tcPr>
            <w:tcW w:w="3372" w:type="dxa"/>
            <w:tcBorders>
              <w:top w:val="nil"/>
              <w:left w:val="nil"/>
              <w:bottom w:val="nil"/>
              <w:right w:val="single" w:color="000000" w:sz="8" w:space="0"/>
            </w:tcBorders>
            <w:shd w:val="clear" w:color="auto" w:fill="auto"/>
            <w:vAlign w:val="center"/>
          </w:tcPr>
          <w:p>
            <w:pPr>
              <w:widowControl/>
              <w:spacing w:line="300" w:lineRule="auto"/>
              <w:ind w:firstLine="400" w:firstLineChars="200"/>
              <w:jc w:val="left"/>
              <w:rPr>
                <w:rFonts w:eastAsia="宋体" w:cs="宋体"/>
                <w:sz w:val="20"/>
                <w:szCs w:val="20"/>
              </w:rPr>
            </w:pPr>
            <w:r>
              <w:rPr>
                <w:rFonts w:hint="eastAsia" w:eastAsia="宋体" w:cs="宋体"/>
                <w:sz w:val="20"/>
                <w:szCs w:val="20"/>
              </w:rPr>
              <w:t>使学生能够进一步理解机床排故知识，掌握普通机床</w:t>
            </w:r>
          </w:p>
          <w:p>
            <w:pPr>
              <w:widowControl/>
              <w:spacing w:line="300" w:lineRule="auto"/>
              <w:jc w:val="left"/>
              <w:rPr>
                <w:rFonts w:eastAsia="宋体" w:cs="宋体"/>
                <w:sz w:val="20"/>
                <w:szCs w:val="20"/>
              </w:rPr>
            </w:pPr>
            <w:r>
              <w:rPr>
                <w:rFonts w:hint="eastAsia" w:eastAsia="宋体" w:cs="宋体"/>
                <w:sz w:val="20"/>
                <w:szCs w:val="20"/>
              </w:rPr>
              <w:t>典型电气控制线路的装接、调试和排故等技能，培养学生独立思考，采用辩证法分析与解决问题的能力。</w:t>
            </w:r>
          </w:p>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p>
        </w:tc>
        <w:tc>
          <w:tcPr>
            <w:tcW w:w="2871" w:type="dxa"/>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学习和了解机电设备故障诊断与维修的概念和发展方向，理解T68镗床、X62万能铣床、Z30/40摇臂钻床和15/3T交流桥式起重机电路的工作原理，并能够根据故障现象，分析故障原理，查找出故障点。</w:t>
            </w:r>
          </w:p>
        </w:tc>
        <w:tc>
          <w:tcPr>
            <w:tcW w:w="929" w:type="dxa"/>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4/80</w:t>
            </w:r>
          </w:p>
        </w:tc>
        <w:tc>
          <w:tcPr>
            <w:tcW w:w="671" w:type="dxa"/>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946" w:hRule="atLeast"/>
        </w:trPr>
        <w:tc>
          <w:tcPr>
            <w:tcW w:w="7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P</w:t>
            </w:r>
            <w:r>
              <w:rPr>
                <w:rFonts w:hint="eastAsia" w:ascii="宋体" w:hAnsi="宋体" w:eastAsia="宋体" w:cs="宋体"/>
                <w:sz w:val="20"/>
                <w:szCs w:val="20"/>
                <w:lang w:val="en-US" w:eastAsia="zh-CN"/>
              </w:rPr>
              <w:t>LC应用技</w:t>
            </w:r>
            <w:r>
              <w:rPr>
                <w:rFonts w:hint="eastAsia" w:ascii="宋体" w:hAnsi="宋体" w:eastAsia="宋体" w:cs="宋体"/>
                <w:i w:val="0"/>
                <w:iCs w:val="0"/>
                <w:color w:val="000000"/>
                <w:kern w:val="0"/>
                <w:sz w:val="20"/>
                <w:szCs w:val="20"/>
                <w:u w:val="none"/>
                <w:lang w:val="en-US" w:eastAsia="zh-CN" w:bidi="ar"/>
              </w:rPr>
              <w:t>术</w:t>
            </w:r>
          </w:p>
        </w:tc>
        <w:tc>
          <w:tcPr>
            <w:tcW w:w="337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本课程以三菱系列PLC为学习载体，重点掌握梯形图编程方法，将控制系统常用的各种输入元件、输出元件与被控对象一起构成应用项目，使学生掌握梯形图语言编程的基本规则与方法，外围接口元件及设备与PLC的连接。围绕PLC的核心技术，锻炼学生的逻辑思维能力，培养学生的应变能力和创新能力。</w:t>
            </w:r>
          </w:p>
        </w:tc>
        <w:tc>
          <w:tcPr>
            <w:tcW w:w="2871" w:type="dxa"/>
            <w:tcBorders>
              <w:top w:val="nil"/>
              <w:left w:val="nil"/>
              <w:bottom w:val="single" w:color="000000" w:sz="8" w:space="0"/>
              <w:right w:val="single" w:color="000000" w:sz="8" w:space="0"/>
            </w:tcBorders>
            <w:shd w:val="clear" w:color="auto" w:fill="auto"/>
            <w:noWrap/>
            <w:vAlign w:val="center"/>
          </w:tcPr>
          <w:p>
            <w:pPr>
              <w:overflowPunct w:val="0"/>
              <w:adjustRightInd w:val="0"/>
              <w:ind w:firstLine="400" w:firstLineChars="200"/>
              <w:rPr>
                <w:rFonts w:ascii="宋体" w:hAnsi="宋体" w:eastAsia="宋体" w:cs="宋体"/>
                <w:sz w:val="20"/>
                <w:szCs w:val="20"/>
              </w:rPr>
            </w:pPr>
            <w:r>
              <w:rPr>
                <w:rFonts w:hint="eastAsia" w:ascii="宋体" w:hAnsi="宋体" w:eastAsia="宋体" w:cs="宋体"/>
                <w:sz w:val="20"/>
                <w:szCs w:val="20"/>
              </w:rPr>
              <w:t>了解PLC编程与接口技术，了解常用小型PLC的结</w:t>
            </w:r>
          </w:p>
          <w:p>
            <w:pP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sz w:val="20"/>
                <w:szCs w:val="20"/>
              </w:rPr>
              <w:t>构和特性，掌握常用小型PLC的I/O分配及指令，会使用编程软件，会根据需要编写简单的PLC应用程序，能对可编程控制器控制系统进行安装、调试、运行与维护。</w:t>
            </w:r>
          </w:p>
        </w:tc>
        <w:tc>
          <w:tcPr>
            <w:tcW w:w="92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2/40</w:t>
            </w:r>
          </w:p>
        </w:tc>
        <w:tc>
          <w:tcPr>
            <w:tcW w:w="67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jc w:val="left"/>
        <w:rPr>
          <w:rFonts w:hint="eastAsia" w:ascii="宋体" w:hAnsi="宋体"/>
          <w:kern w:val="0"/>
          <w:szCs w:val="21"/>
        </w:rPr>
      </w:pPr>
    </w:p>
    <w:p>
      <w:pPr>
        <w:keepNext/>
        <w:keepLines/>
        <w:numPr>
          <w:ilvl w:val="0"/>
          <w:numId w:val="0"/>
        </w:numPr>
        <w:snapToGrid w:val="0"/>
        <w:spacing w:line="360" w:lineRule="auto"/>
        <w:outlineLvl w:val="2"/>
        <w:rPr>
          <w:rFonts w:hint="eastAsia" w:ascii="宋体" w:hAnsi="宋体" w:cs="宋体"/>
          <w:b/>
          <w:bCs/>
          <w:kern w:val="44"/>
          <w:sz w:val="24"/>
        </w:rPr>
      </w:pPr>
      <w:r>
        <w:rPr>
          <w:rFonts w:hint="eastAsia" w:ascii="宋体" w:hAnsi="宋体" w:cs="宋体"/>
          <w:b/>
          <w:bCs/>
          <w:kern w:val="44"/>
          <w:sz w:val="24"/>
          <w:lang w:val="en-US" w:eastAsia="zh-CN"/>
        </w:rPr>
        <w:t>4.</w:t>
      </w:r>
      <w:r>
        <w:rPr>
          <w:rFonts w:hint="eastAsia" w:ascii="宋体" w:hAnsi="宋体" w:cs="宋体"/>
          <w:b/>
          <w:bCs/>
          <w:kern w:val="44"/>
          <w:sz w:val="24"/>
        </w:rPr>
        <w:t>专业</w:t>
      </w:r>
      <w:r>
        <w:rPr>
          <w:rFonts w:hint="eastAsia" w:ascii="宋体" w:hAnsi="宋体" w:cs="宋体"/>
          <w:b/>
          <w:bCs/>
          <w:kern w:val="44"/>
          <w:sz w:val="24"/>
          <w:lang w:val="en-US" w:eastAsia="zh-CN"/>
        </w:rPr>
        <w:t>核心</w:t>
      </w:r>
      <w:r>
        <w:rPr>
          <w:rFonts w:hint="eastAsia" w:ascii="宋体" w:hAnsi="宋体" w:cs="宋体"/>
          <w:b/>
          <w:bCs/>
          <w:kern w:val="44"/>
          <w:sz w:val="24"/>
        </w:rPr>
        <w:t>课程</w:t>
      </w:r>
    </w:p>
    <w:tbl>
      <w:tblPr>
        <w:tblStyle w:val="24"/>
        <w:tblW w:w="9546" w:type="dxa"/>
        <w:tblInd w:w="11" w:type="dxa"/>
        <w:shd w:val="clear" w:color="auto" w:fill="auto"/>
        <w:tblLayout w:type="fixed"/>
        <w:tblCellMar>
          <w:top w:w="0" w:type="dxa"/>
          <w:left w:w="108" w:type="dxa"/>
          <w:bottom w:w="0" w:type="dxa"/>
          <w:right w:w="108" w:type="dxa"/>
        </w:tblCellMar>
      </w:tblPr>
      <w:tblGrid>
        <w:gridCol w:w="752"/>
        <w:gridCol w:w="1366"/>
        <w:gridCol w:w="2949"/>
        <w:gridCol w:w="2835"/>
        <w:gridCol w:w="850"/>
        <w:gridCol w:w="794"/>
      </w:tblGrid>
      <w:tr>
        <w:tblPrEx>
          <w:shd w:val="clear" w:color="auto" w:fill="auto"/>
          <w:tblCellMar>
            <w:top w:w="0" w:type="dxa"/>
            <w:left w:w="108" w:type="dxa"/>
            <w:bottom w:w="0" w:type="dxa"/>
            <w:right w:w="108" w:type="dxa"/>
          </w:tblCellMar>
        </w:tblPrEx>
        <w:trPr>
          <w:cantSplit/>
          <w:trHeight w:val="697" w:hRule="atLeast"/>
          <w:tblHeader/>
        </w:trPr>
        <w:tc>
          <w:tcPr>
            <w:tcW w:w="752"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课程性质</w:t>
            </w:r>
          </w:p>
        </w:tc>
        <w:tc>
          <w:tcPr>
            <w:tcW w:w="1366" w:type="dxa"/>
            <w:tcBorders>
              <w:top w:val="single" w:color="000000" w:sz="8" w:space="0"/>
              <w:left w:val="nil"/>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课程名称</w:t>
            </w:r>
          </w:p>
        </w:tc>
        <w:tc>
          <w:tcPr>
            <w:tcW w:w="2949" w:type="dxa"/>
            <w:tcBorders>
              <w:top w:val="single" w:color="000000" w:sz="8" w:space="0"/>
              <w:left w:val="nil"/>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课程目标</w:t>
            </w:r>
          </w:p>
        </w:tc>
        <w:tc>
          <w:tcPr>
            <w:tcW w:w="2835" w:type="dxa"/>
            <w:tcBorders>
              <w:top w:val="single" w:color="000000" w:sz="8" w:space="0"/>
              <w:left w:val="nil"/>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主要教学内容与要求</w:t>
            </w:r>
          </w:p>
        </w:tc>
        <w:tc>
          <w:tcPr>
            <w:tcW w:w="850" w:type="dxa"/>
            <w:tcBorders>
              <w:top w:val="single" w:color="000000" w:sz="8" w:space="0"/>
              <w:left w:val="nil"/>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学分/学时</w:t>
            </w:r>
          </w:p>
        </w:tc>
        <w:tc>
          <w:tcPr>
            <w:tcW w:w="794" w:type="dxa"/>
            <w:tcBorders>
              <w:top w:val="single" w:color="000000" w:sz="8" w:space="0"/>
              <w:left w:val="nil"/>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shd w:val="clear" w:color="auto" w:fill="auto"/>
          <w:tblCellMar>
            <w:top w:w="0" w:type="dxa"/>
            <w:left w:w="108" w:type="dxa"/>
            <w:bottom w:w="0" w:type="dxa"/>
            <w:right w:w="108" w:type="dxa"/>
          </w:tblCellMar>
        </w:tblPrEx>
        <w:trPr>
          <w:cantSplit/>
          <w:trHeight w:val="3408" w:hRule="atLeast"/>
        </w:trPr>
        <w:tc>
          <w:tcPr>
            <w:tcW w:w="752" w:type="dxa"/>
            <w:vMerge w:val="restart"/>
            <w:tcBorders>
              <w:top w:val="nil"/>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13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城市轨道交通概论</w:t>
            </w:r>
          </w:p>
        </w:tc>
        <w:tc>
          <w:tcPr>
            <w:tcW w:w="2949"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0"/>
                <w:sz w:val="20"/>
                <w:szCs w:val="20"/>
                <w:lang w:val="en-US" w:eastAsia="zh-CN" w:bidi="ar"/>
              </w:rPr>
              <w:t>掌握城市轨道交通系统及其子系统之间的联系，以及各子系统中设备的构造和功能。</w:t>
            </w:r>
          </w:p>
        </w:tc>
        <w:tc>
          <w:tcPr>
            <w:tcW w:w="283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0"/>
                <w:sz w:val="20"/>
                <w:szCs w:val="20"/>
                <w:lang w:val="en-US" w:eastAsia="zh-CN" w:bidi="ar"/>
              </w:rPr>
              <w:t>城市轨道交通概况、城市轨道交通线网规划与线路设计、城市轨道交通线路与车站、城市轨道交通车辆、城市轨道交通供配电系统、城市轨道交通信号与通信系统、城市轨道交通行车组织与行车调度、城市轨道交通环境控制与安全管理等。</w:t>
            </w:r>
          </w:p>
        </w:tc>
        <w:tc>
          <w:tcPr>
            <w:tcW w:w="8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80</w:t>
            </w:r>
          </w:p>
        </w:tc>
        <w:tc>
          <w:tcPr>
            <w:tcW w:w="79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统考课程</w:t>
            </w:r>
          </w:p>
        </w:tc>
      </w:tr>
      <w:tr>
        <w:tblPrEx>
          <w:shd w:val="clear" w:color="auto" w:fill="auto"/>
          <w:tblCellMar>
            <w:top w:w="0" w:type="dxa"/>
            <w:left w:w="108" w:type="dxa"/>
            <w:bottom w:w="0" w:type="dxa"/>
            <w:right w:w="108" w:type="dxa"/>
          </w:tblCellMar>
        </w:tblPrEx>
        <w:trPr>
          <w:cantSplit/>
          <w:trHeight w:val="4184"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949"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0"/>
                <w:sz w:val="20"/>
                <w:szCs w:val="20"/>
                <w:lang w:val="en-US" w:eastAsia="zh-CN" w:bidi="ar"/>
              </w:rPr>
              <w:t>能正确分析轨道交通线路的种类及作用；有效辨别轨道的不同部件；正确分析城市轨道交通供电系统的工作原理；正确分析城市轨道交通通信与信号系统基本工作原理；具备分析列车运行图的能力；具备城市轨道交通运营管理的基本能力；具备城市轨道交通主要设备的基本使用能力。</w:t>
            </w:r>
          </w:p>
        </w:tc>
        <w:tc>
          <w:tcPr>
            <w:tcW w:w="283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0"/>
                <w:sz w:val="20"/>
                <w:szCs w:val="20"/>
                <w:lang w:val="en-US" w:eastAsia="zh-CN" w:bidi="ar"/>
              </w:rPr>
              <w:t>采用“课堂集中教学、课后分组讨论、课堂总结汇报”的课程组织形式，辅助采用多媒体等现代教学工具，充分调动学生学习兴趣，促进学生积极思考，使学生对城市轨道交通系统及其子系统之间的联系，以及各子系统中车站设备的构造和功能进一步掌握，提高学生对城市轨道交通设备和运营组织的认知能力。</w:t>
            </w:r>
          </w:p>
        </w:tc>
        <w:tc>
          <w:tcPr>
            <w:tcW w:w="8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cantSplit/>
          <w:trHeight w:val="1719"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9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0"/>
                <w:sz w:val="20"/>
                <w:szCs w:val="20"/>
                <w:lang w:val="en-US" w:eastAsia="zh-CN" w:bidi="ar"/>
              </w:rPr>
              <w:t>掌握进一步学习城市轨道交通相关专业的基本知识素质。</w:t>
            </w:r>
          </w:p>
        </w:tc>
        <w:tc>
          <w:tcPr>
            <w:tcW w:w="2835"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c>
          <w:tcPr>
            <w:tcW w:w="8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cantSplit/>
          <w:trHeight w:val="4724"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城市轨道交通车站设备</w:t>
            </w:r>
          </w:p>
        </w:tc>
        <w:tc>
          <w:tcPr>
            <w:tcW w:w="2949"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0"/>
                <w:sz w:val="20"/>
                <w:szCs w:val="20"/>
                <w:lang w:val="en-US" w:eastAsia="zh-CN" w:bidi="ar"/>
              </w:rPr>
              <w:t>了解城市轨道交通车站的基本概念、分类及每种类型的适用范围。掌握轨道交通车站设备的基本配置原则和方法。了解车站低压配电系统的组成、配电负荷、负荷分类。掌握环控系统、火灾自动报警系统的分类、功能及其设备使用方法。了解电扶梯的基本参数、工作原理、基本功能。掌握半自动售票机使用方法。了解屏蔽门系统在各种运行条件下的控制方式。了解机电设备监控系统的设备组成、监控内容和系统的操作方法。</w:t>
            </w:r>
          </w:p>
        </w:tc>
        <w:tc>
          <w:tcPr>
            <w:tcW w:w="283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0"/>
                <w:sz w:val="20"/>
                <w:szCs w:val="20"/>
                <w:lang w:val="en-US" w:eastAsia="zh-CN" w:bidi="ar"/>
              </w:rPr>
              <w:t>城市轨道交通的车站类型及其功能、车站设备，其中包括低压配电及照明系统、通风和环控系统、给排水和消防系统、电扶梯系统、自动售检票系统、信号和通信系统以及机电设备综合监控系统等内容。</w:t>
            </w:r>
          </w:p>
        </w:tc>
        <w:tc>
          <w:tcPr>
            <w:tcW w:w="8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80</w:t>
            </w:r>
          </w:p>
        </w:tc>
        <w:tc>
          <w:tcPr>
            <w:tcW w:w="79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统考课程</w:t>
            </w:r>
          </w:p>
        </w:tc>
      </w:tr>
      <w:tr>
        <w:tblPrEx>
          <w:shd w:val="clear" w:color="auto" w:fill="auto"/>
          <w:tblCellMar>
            <w:top w:w="0" w:type="dxa"/>
            <w:left w:w="108" w:type="dxa"/>
            <w:bottom w:w="0" w:type="dxa"/>
            <w:right w:w="108" w:type="dxa"/>
          </w:tblCellMar>
        </w:tblPrEx>
        <w:trPr>
          <w:cantSplit/>
          <w:trHeight w:val="5324"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949"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0"/>
                <w:sz w:val="20"/>
                <w:szCs w:val="20"/>
                <w:lang w:val="en-US" w:eastAsia="zh-CN" w:bidi="ar"/>
              </w:rPr>
              <w:t>能够正确认识城市轨道交通车站设备的概念、功能、特点及使用方法。能够区分车站低压配电系统不同设备的供电负荷及其负荷分类。能够根据运营情况，正确控制车站低压配电系统的运行等级。能够识别给排水系统、自动售检票系统以及屏蔽门系统的故障，并且明确其处理方法。具备火灾现场处理屏蔽门系统的控制能力。具备轨交交通通信设备联锁和闭塞的基本控制能力。具备机电设备综合监控系统的基本使用能力。</w:t>
            </w:r>
          </w:p>
        </w:tc>
        <w:tc>
          <w:tcPr>
            <w:tcW w:w="283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0"/>
                <w:sz w:val="20"/>
                <w:szCs w:val="20"/>
                <w:lang w:val="en-US" w:eastAsia="zh-CN" w:bidi="ar"/>
              </w:rPr>
              <w:t>使学生对城市轨道交通车站设备的多种功能以及各子系统中车站设备的构造和功能进一步掌握，从使学生对城市轨道交通车站设备有更加全面和深刻的理解。</w:t>
            </w:r>
          </w:p>
        </w:tc>
        <w:tc>
          <w:tcPr>
            <w:tcW w:w="8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cantSplit/>
          <w:trHeight w:val="1163"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9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left"/>
              <w:textAlignment w:val="center"/>
              <w:rPr>
                <w:rStyle w:val="50"/>
                <w:sz w:val="20"/>
                <w:szCs w:val="20"/>
                <w:lang w:val="en-US" w:eastAsia="zh-CN" w:bidi="ar"/>
              </w:rPr>
            </w:pPr>
            <w:r>
              <w:rPr>
                <w:rFonts w:hint="eastAsia" w:ascii="宋体" w:hAnsi="宋体" w:eastAsia="宋体" w:cs="宋体"/>
                <w:b/>
                <w:bCs/>
                <w:i w:val="0"/>
                <w:iCs w:val="0"/>
                <w:color w:val="000000"/>
                <w:kern w:val="0"/>
                <w:sz w:val="20"/>
                <w:szCs w:val="20"/>
                <w:u w:val="none"/>
                <w:lang w:val="en-US" w:eastAsia="zh-CN" w:bidi="ar"/>
              </w:rPr>
              <w:t>素质目标：</w:t>
            </w:r>
            <w:r>
              <w:rPr>
                <w:rStyle w:val="50"/>
                <w:sz w:val="20"/>
                <w:szCs w:val="20"/>
                <w:lang w:val="en-US" w:eastAsia="zh-CN" w:bidi="ar"/>
              </w:rPr>
              <w:t>使学生对城市轨道交通车站设备及其使用方法和具体功能有充分的认识，并且能在不同情况下正确操作设备、运用相应的运营模式。</w:t>
            </w:r>
          </w:p>
          <w:p>
            <w:pPr>
              <w:keepNext w:val="0"/>
              <w:keepLines w:val="0"/>
              <w:widowControl/>
              <w:suppressLineNumbers w:val="0"/>
              <w:jc w:val="left"/>
              <w:textAlignment w:val="center"/>
              <w:rPr>
                <w:rStyle w:val="50"/>
                <w:rFonts w:hint="eastAsia"/>
                <w:sz w:val="20"/>
                <w:szCs w:val="20"/>
                <w:lang w:val="en-US" w:eastAsia="zh-CN" w:bidi="ar"/>
              </w:rPr>
            </w:pPr>
          </w:p>
        </w:tc>
        <w:tc>
          <w:tcPr>
            <w:tcW w:w="2835"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cantSplit/>
          <w:trHeight w:val="90"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城市轨道交通客运组织</w:t>
            </w:r>
          </w:p>
        </w:tc>
        <w:tc>
          <w:tcPr>
            <w:tcW w:w="2949"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0"/>
                <w:sz w:val="20"/>
                <w:szCs w:val="20"/>
                <w:lang w:val="en-US" w:eastAsia="zh-CN" w:bidi="ar"/>
              </w:rPr>
              <w:t>了解城市轨道交通车站及设备设施的基础知识；掌握客流分析能力、乘客导向标志的识别与运营、组织乘客乘降、非正常情况下乘客紧急疏散、正常情况下乘客的引导和疏散、客流组织设备的使用方法、客流流线的布设能力。</w:t>
            </w:r>
          </w:p>
        </w:tc>
        <w:tc>
          <w:tcPr>
            <w:tcW w:w="283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0"/>
                <w:sz w:val="20"/>
                <w:szCs w:val="20"/>
                <w:lang w:val="en-US" w:eastAsia="zh-CN" w:bidi="ar"/>
              </w:rPr>
              <w:t>城市轨道交通客运组织基础、城市轨道交通车站、城市轨道交通车站技术设备、城市轨道交通自动售检票系统、城市轨道交通票务组织、城市轨道客流组织、城市轨道交通车站运作、城市轨道交通应急处理与实例、城市轨道交通市场营销。</w:t>
            </w:r>
          </w:p>
        </w:tc>
        <w:tc>
          <w:tcPr>
            <w:tcW w:w="8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0</w:t>
            </w:r>
          </w:p>
        </w:tc>
        <w:tc>
          <w:tcPr>
            <w:tcW w:w="79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统考课程</w:t>
            </w:r>
          </w:p>
        </w:tc>
      </w:tr>
      <w:tr>
        <w:tblPrEx>
          <w:shd w:val="clear" w:color="auto" w:fill="auto"/>
          <w:tblCellMar>
            <w:top w:w="0" w:type="dxa"/>
            <w:left w:w="108" w:type="dxa"/>
            <w:bottom w:w="0" w:type="dxa"/>
            <w:right w:w="108" w:type="dxa"/>
          </w:tblCellMar>
        </w:tblPrEx>
        <w:trPr>
          <w:cantSplit/>
          <w:trHeight w:val="2204"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949"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0"/>
                <w:sz w:val="20"/>
                <w:szCs w:val="20"/>
                <w:lang w:val="en-US" w:eastAsia="zh-CN" w:bidi="ar"/>
              </w:rPr>
              <w:t>掌握车站建筑、设备设施、票务组织、客流预测、客流组织、应急处置及客流营销。</w:t>
            </w:r>
          </w:p>
        </w:tc>
        <w:tc>
          <w:tcPr>
            <w:tcW w:w="283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0"/>
                <w:sz w:val="20"/>
                <w:szCs w:val="20"/>
                <w:lang w:val="en-US" w:eastAsia="zh-CN" w:bidi="ar"/>
              </w:rPr>
              <w:t>锻炼学生的逻辑思维能力、客流分析能力、乘客导向标志的识别与运用、组织乘客乘降能力、正常情况下乘客的引导和疏散、客流组织设备的使用方法、客流流线的布设能力、非正常情况下乘客紧急疏散能力。</w:t>
            </w:r>
          </w:p>
        </w:tc>
        <w:tc>
          <w:tcPr>
            <w:tcW w:w="8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cantSplit/>
          <w:trHeight w:val="1816"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9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0"/>
                <w:sz w:val="20"/>
                <w:szCs w:val="20"/>
                <w:lang w:val="en-US" w:eastAsia="zh-CN" w:bidi="ar"/>
              </w:rPr>
              <w:t>培养学生的组织协调能力、沟通能力、服务意识、团队合作能力等专业素养，以及培养学生认真负责的工作添堵和严谨细致的工作作风。</w:t>
            </w:r>
          </w:p>
        </w:tc>
        <w:tc>
          <w:tcPr>
            <w:tcW w:w="2835"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cantSplit/>
          <w:trHeight w:val="2120"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restar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城市轨道交通工程识图</w:t>
            </w:r>
          </w:p>
        </w:tc>
        <w:tc>
          <w:tcPr>
            <w:tcW w:w="2949"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0"/>
                <w:sz w:val="20"/>
                <w:szCs w:val="20"/>
                <w:lang w:val="en-US" w:eastAsia="zh-CN" w:bidi="ar"/>
              </w:rPr>
              <w:t>掌握正投影法的基本理论和作图方法，能够执行制图国家标准及其有关规定，掌握正投影基础概念，掌握机械零件和机器（或部件）的表达原则和方法。</w:t>
            </w:r>
          </w:p>
        </w:tc>
        <w:tc>
          <w:tcPr>
            <w:tcW w:w="283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0"/>
                <w:sz w:val="20"/>
                <w:szCs w:val="20"/>
                <w:lang w:val="en-US" w:eastAsia="zh-CN" w:bidi="ar"/>
              </w:rPr>
              <w:t>制图的基本知识和基本技能，点、直线、平面的投影，立体的投影、组合体的视图及尺寸注法，轴测图、机件常用的表达方法，标准件和常用件、零件图、装配图。</w:t>
            </w:r>
          </w:p>
        </w:tc>
        <w:tc>
          <w:tcPr>
            <w:tcW w:w="8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80</w:t>
            </w:r>
          </w:p>
        </w:tc>
        <w:tc>
          <w:tcPr>
            <w:tcW w:w="794"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cantSplit/>
          <w:trHeight w:val="3687"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continue"/>
            <w:tcBorders>
              <w:top w:val="single" w:color="000000" w:sz="8" w:space="0"/>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49"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0"/>
                <w:sz w:val="20"/>
                <w:szCs w:val="20"/>
                <w:lang w:val="en-US" w:eastAsia="zh-CN" w:bidi="ar"/>
              </w:rPr>
              <w:t>具有绘制和识读零件图和装配图的基本能力，具有较强的空间想象能力，培养绘制和阅读机械图样的节本能力。</w:t>
            </w:r>
          </w:p>
        </w:tc>
        <w:tc>
          <w:tcPr>
            <w:tcW w:w="283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0"/>
                <w:sz w:val="20"/>
                <w:szCs w:val="20"/>
                <w:lang w:val="en-US" w:eastAsia="zh-CN" w:bidi="ar"/>
              </w:rPr>
              <w:t>围绕课程目标建立符合职业岗位情景教学环境，考虑学生实际水平和特点，灵活运用多种教学方法激发学生的学习兴趣，提高学习积极性。遵循以学生为主体、教师为辅的原则设计教学活动，课堂以“学”为中心。强调学生职业能力的培养和可持续发展潜力的培养。教学过程中充分发挥学生学习的主动性和积极性。</w:t>
            </w:r>
          </w:p>
        </w:tc>
        <w:tc>
          <w:tcPr>
            <w:tcW w:w="8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cantSplit/>
          <w:trHeight w:val="791"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continue"/>
            <w:tcBorders>
              <w:top w:val="single" w:color="000000" w:sz="8" w:space="0"/>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0"/>
                <w:sz w:val="20"/>
                <w:szCs w:val="20"/>
                <w:lang w:val="en-US" w:eastAsia="zh-CN" w:bidi="ar"/>
              </w:rPr>
              <w:t>培养学生手脑并用的良好学习习惯，养成认真负责的态度和严谨细致的作风，培养学生的团队合作意识。</w:t>
            </w:r>
          </w:p>
        </w:tc>
        <w:tc>
          <w:tcPr>
            <w:tcW w:w="2835"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cantSplit/>
          <w:trHeight w:val="2910"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城市轨道交通行车组织</w:t>
            </w:r>
          </w:p>
        </w:tc>
        <w:tc>
          <w:tcPr>
            <w:tcW w:w="2949"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0"/>
                <w:sz w:val="20"/>
                <w:szCs w:val="20"/>
                <w:lang w:val="en-US" w:eastAsia="zh-CN" w:bidi="ar"/>
              </w:rPr>
              <w:t>掌握城市轨道交通行车组织的基本知识。行车闭塞法的基本原理及连锁设备。全日行车计划的编制。列车运行图的编制步骤与方法。行车指挥和调度工作的方法。车站行车组织方法。熟悉调车作业的基本要求。掌握设备故障情况下的行车组织方法。掌握行车事故处理方法及预防。</w:t>
            </w:r>
          </w:p>
        </w:tc>
        <w:tc>
          <w:tcPr>
            <w:tcW w:w="283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0"/>
                <w:sz w:val="20"/>
                <w:szCs w:val="20"/>
                <w:lang w:val="en-US" w:eastAsia="zh-CN" w:bidi="ar"/>
              </w:rPr>
              <w:t>城市轨道交通行车组织概述、</w:t>
            </w:r>
            <w:r>
              <w:rPr>
                <w:rStyle w:val="51"/>
                <w:sz w:val="20"/>
                <w:szCs w:val="20"/>
                <w:lang w:val="en-US" w:eastAsia="zh-CN" w:bidi="ar"/>
              </w:rPr>
              <w:t>行车组织基础、列车开行计划、列车运行图的基本要素与编制、行车调度工作、车站行车组织、车辆基地作业组织、正常情况下的行车组织、非正常情况下的行车组织、施工组织及工程车开行、行车事故处理及预防。</w:t>
            </w:r>
          </w:p>
        </w:tc>
        <w:tc>
          <w:tcPr>
            <w:tcW w:w="8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80</w:t>
            </w:r>
          </w:p>
        </w:tc>
        <w:tc>
          <w:tcPr>
            <w:tcW w:w="79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统考课程</w:t>
            </w:r>
          </w:p>
        </w:tc>
      </w:tr>
      <w:tr>
        <w:tblPrEx>
          <w:shd w:val="clear" w:color="auto" w:fill="auto"/>
          <w:tblCellMar>
            <w:top w:w="0" w:type="dxa"/>
            <w:left w:w="108" w:type="dxa"/>
            <w:bottom w:w="0" w:type="dxa"/>
            <w:right w:w="108" w:type="dxa"/>
          </w:tblCellMar>
        </w:tblPrEx>
        <w:trPr>
          <w:cantSplit/>
          <w:trHeight w:val="2334"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949"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0"/>
                <w:sz w:val="20"/>
                <w:szCs w:val="20"/>
                <w:lang w:val="en-US" w:eastAsia="zh-CN" w:bidi="ar"/>
              </w:rPr>
              <w:t>会编制列车运行图。进行正常情况、设备故障情况下的行车组织作业。进行各种情况下的调车、行车指挥和调度。及时妥善处理行车过程中的事故处理工作。</w:t>
            </w:r>
          </w:p>
        </w:tc>
        <w:tc>
          <w:tcPr>
            <w:tcW w:w="283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0"/>
                <w:sz w:val="20"/>
                <w:szCs w:val="20"/>
                <w:lang w:val="en-US" w:eastAsia="zh-CN" w:bidi="ar"/>
              </w:rPr>
              <w:t xml:space="preserve">使学生掌握城市轨道交通行车组织的操作技能和相关理论知识，通过列车开行计划、列车运行图、行车调度工作、车站行车组织、车辆基地作业组织、施工组织及工程车开行、行车事故处理及预防等。 </w:t>
            </w:r>
          </w:p>
        </w:tc>
        <w:tc>
          <w:tcPr>
            <w:tcW w:w="8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cantSplit/>
          <w:trHeight w:val="2046"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9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0"/>
                <w:sz w:val="20"/>
                <w:szCs w:val="20"/>
                <w:lang w:val="en-US" w:eastAsia="zh-CN" w:bidi="ar"/>
              </w:rPr>
              <w:t>：学会车站各项作业组织方法，列车运行图的编制及通过能力计算，达到对轨道交通行车组织多项实用技术的理论掌握和实践了解的目的。</w:t>
            </w:r>
          </w:p>
        </w:tc>
        <w:tc>
          <w:tcPr>
            <w:tcW w:w="2835"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cantSplit/>
          <w:trHeight w:val="1860"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城市轨道交通员工职业素养</w:t>
            </w:r>
          </w:p>
        </w:tc>
        <w:tc>
          <w:tcPr>
            <w:tcW w:w="2949"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0"/>
                <w:sz w:val="20"/>
                <w:szCs w:val="20"/>
                <w:lang w:val="en-US" w:eastAsia="zh-CN" w:bidi="ar"/>
              </w:rPr>
              <w:t>掌握客运服务基本礼仪的基础上，通过举止言行提高学生个人素养。</w:t>
            </w:r>
          </w:p>
        </w:tc>
        <w:tc>
          <w:tcPr>
            <w:tcW w:w="283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0"/>
                <w:sz w:val="20"/>
                <w:szCs w:val="20"/>
                <w:lang w:val="en-US" w:eastAsia="zh-CN" w:bidi="ar"/>
              </w:rPr>
              <w:t>城市轨道交通员工基本素养要求，运营管理员工职业礼仪的基本知识、仪容规范、服饰规范、会面礼仪规范、语言运用艺术、现场接待规范等内容。</w:t>
            </w:r>
          </w:p>
        </w:tc>
        <w:tc>
          <w:tcPr>
            <w:tcW w:w="8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40</w:t>
            </w:r>
          </w:p>
        </w:tc>
        <w:tc>
          <w:tcPr>
            <w:tcW w:w="794"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cantSplit/>
          <w:trHeight w:val="953"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949"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0"/>
                <w:sz w:val="20"/>
                <w:szCs w:val="20"/>
                <w:lang w:val="en-US" w:eastAsia="zh-CN" w:bidi="ar"/>
              </w:rPr>
              <w:t>运用运营管理员工职业礼仪的基本知识、仪容规范、服饰规范、会面礼仪规范、语言运用艺术、现场接待规范。</w:t>
            </w:r>
          </w:p>
        </w:tc>
        <w:tc>
          <w:tcPr>
            <w:tcW w:w="283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0"/>
                <w:sz w:val="20"/>
                <w:szCs w:val="20"/>
                <w:lang w:val="en-US" w:eastAsia="zh-CN" w:bidi="ar"/>
              </w:rPr>
              <w:t>以学生的职业素养能力培养为目标，让学生在感悟中体会职业素养的重要性，并逐步影响学生的思维方式，形成良好的职业习惯。</w:t>
            </w:r>
          </w:p>
        </w:tc>
        <w:tc>
          <w:tcPr>
            <w:tcW w:w="8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cantSplit/>
          <w:trHeight w:val="1167"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9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0"/>
                <w:sz w:val="20"/>
                <w:szCs w:val="20"/>
                <w:lang w:val="en-US" w:eastAsia="zh-CN" w:bidi="ar"/>
              </w:rPr>
              <w:t>能够胜任未来的城市轨道交通运营管理工作，为学生的职业发展奠定坚实的基础。</w:t>
            </w:r>
          </w:p>
        </w:tc>
        <w:tc>
          <w:tcPr>
            <w:tcW w:w="2835"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cantSplit/>
          <w:trHeight w:val="6036"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城市轨道交通票务管理</w:t>
            </w:r>
          </w:p>
        </w:tc>
        <w:tc>
          <w:tcPr>
            <w:tcW w:w="2949"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0"/>
                <w:sz w:val="20"/>
                <w:szCs w:val="20"/>
                <w:lang w:val="en-US" w:eastAsia="zh-CN" w:bidi="ar"/>
              </w:rPr>
              <w:t>了解城市轨道交通票务系统的业务管理与实施；掌握自动售检票系统设备配置与布局的考虑因素；掌握纸票磁卡、智能卡的构成、分类及特点；掌握自动检票机，自动售票机，半自动售票机，自动查询机的结构组成及其结构功能；掌握票务管理各岗位工作流程、工作交接、核对及检查制度；掌握备用金管理的办法、福利票的类型及换发流程；了解车站票务备品的种类及其简单的使用方法，掌握售检票作业及作业程序；掌握售票类设备故障时的票务处理办法。</w:t>
            </w:r>
          </w:p>
        </w:tc>
        <w:tc>
          <w:tcPr>
            <w:tcW w:w="283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0"/>
                <w:sz w:val="20"/>
                <w:szCs w:val="20"/>
                <w:lang w:val="en-US" w:eastAsia="zh-CN" w:bidi="ar"/>
              </w:rPr>
              <w:t>城市轨道交通票务系统、票卡媒介、AFC自动售检票系统终端设备、城市轨道交通票务组织、城市轨道交通票务岗作业、票款清分结算管理等。</w:t>
            </w:r>
          </w:p>
        </w:tc>
        <w:tc>
          <w:tcPr>
            <w:tcW w:w="8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80</w:t>
            </w:r>
          </w:p>
        </w:tc>
        <w:tc>
          <w:tcPr>
            <w:tcW w:w="79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统考课程</w:t>
            </w:r>
          </w:p>
        </w:tc>
      </w:tr>
      <w:tr>
        <w:tblPrEx>
          <w:shd w:val="clear" w:color="auto" w:fill="auto"/>
          <w:tblCellMar>
            <w:top w:w="0" w:type="dxa"/>
            <w:left w:w="108" w:type="dxa"/>
            <w:bottom w:w="0" w:type="dxa"/>
            <w:right w:w="108" w:type="dxa"/>
          </w:tblCellMar>
        </w:tblPrEx>
        <w:trPr>
          <w:cantSplit/>
          <w:trHeight w:val="3199"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949"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0"/>
                <w:sz w:val="20"/>
                <w:szCs w:val="20"/>
                <w:lang w:val="en-US" w:eastAsia="zh-CN" w:bidi="ar"/>
              </w:rPr>
              <w:t>具备城市轨道交通票务系统的管理与实施能力；具备自动售检票机、自动售票机、半自动售票机、自动查询机的相应查询机处理能力；具备票务管理各岗位的基本工作能力。</w:t>
            </w:r>
          </w:p>
        </w:tc>
        <w:tc>
          <w:tcPr>
            <w:tcW w:w="283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0"/>
                <w:sz w:val="20"/>
                <w:szCs w:val="20"/>
                <w:lang w:val="en-US" w:eastAsia="zh-CN" w:bidi="ar"/>
              </w:rPr>
              <w:t>掌握城市轨道交通票务管理的基础知识，能够初步了解轨道交通票务知识。使学生掌握AFC自动售检票系统，能够使用自动售检票设备完成票卡、现金和票务台账的现场管理。</w:t>
            </w:r>
          </w:p>
        </w:tc>
        <w:tc>
          <w:tcPr>
            <w:tcW w:w="8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cantSplit/>
          <w:trHeight w:val="3523"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9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0"/>
                <w:sz w:val="20"/>
                <w:szCs w:val="20"/>
                <w:lang w:val="en-US" w:eastAsia="zh-CN" w:bidi="ar"/>
              </w:rPr>
              <w:t>培养学生具备票务设备的规范操作及使用能力，具备票务台账的规范填写及管理能力，具备车站正常情况下的票务作业处理能力，具备车站异常情况下的票务作业处理能力。</w:t>
            </w:r>
          </w:p>
        </w:tc>
        <w:tc>
          <w:tcPr>
            <w:tcW w:w="2835"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cantSplit/>
          <w:trHeight w:val="3983"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城市轨道交通客运服务</w:t>
            </w:r>
          </w:p>
        </w:tc>
        <w:tc>
          <w:tcPr>
            <w:tcW w:w="2949"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知识目标：</w:t>
            </w:r>
            <w:r>
              <w:rPr>
                <w:rStyle w:val="50"/>
                <w:sz w:val="20"/>
                <w:szCs w:val="20"/>
                <w:lang w:val="en-US" w:eastAsia="zh-CN" w:bidi="ar"/>
              </w:rPr>
              <w:t>了解城市轨道交通客运服务人员的基本仪容要求和着装规范。掌握不同情况下站姿、坐姿、行姿及手势的基本要求。掌握城市轨道交通服务人员的服务规范用语。熟悉售票亭、自主售票机的服务要求。掌握地铁安全检查的政策。掌握广播服务主要要素。掌握投诉处理原则与技巧。</w:t>
            </w:r>
          </w:p>
        </w:tc>
        <w:tc>
          <w:tcPr>
            <w:tcW w:w="283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r>
              <w:rPr>
                <w:rStyle w:val="50"/>
                <w:sz w:val="20"/>
                <w:szCs w:val="20"/>
                <w:lang w:val="en-US" w:eastAsia="zh-CN" w:bidi="ar"/>
              </w:rPr>
              <w:t>城市轨道交通客运服务概述、城市轨道交通客运服务人员的日常礼仪修养、城市轨道交通客运服务规范及基本工作流程、城市轨道交通乘客投诉、城市轨道交通服务质量评价。</w:t>
            </w:r>
          </w:p>
        </w:tc>
        <w:tc>
          <w:tcPr>
            <w:tcW w:w="8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0</w:t>
            </w:r>
          </w:p>
        </w:tc>
        <w:tc>
          <w:tcPr>
            <w:tcW w:w="794"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cantSplit/>
          <w:trHeight w:val="5626"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49"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能力目标：</w:t>
            </w:r>
            <w:r>
              <w:rPr>
                <w:rStyle w:val="50"/>
                <w:sz w:val="20"/>
                <w:szCs w:val="20"/>
                <w:lang w:val="en-US" w:eastAsia="zh-CN" w:bidi="ar"/>
              </w:rPr>
              <w:t>能够进行正确的制服穿着。掌握仪容仪表、仪态礼仪、语言礼仪的具体要求，并能在工作中灵活运用。能够做好售票厅、自动售票机售票服务，并能做好相关常见问题处理工作。能够进行安检服务，并能有效处理安检时的乘客纠纷。能够进行候车服务和车站广播服务，保证乘客在站台的安全。能够组织城市轨道交通车站客流。能够处理城市轨道交通车站突发事件。能够运用城市轨道交通客运服务技巧去处理乘客投诉事件。</w:t>
            </w:r>
          </w:p>
        </w:tc>
        <w:tc>
          <w:tcPr>
            <w:tcW w:w="283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教学要求：</w:t>
            </w:r>
            <w:r>
              <w:rPr>
                <w:rStyle w:val="50"/>
                <w:sz w:val="20"/>
                <w:szCs w:val="20"/>
                <w:lang w:val="en-US" w:eastAsia="zh-CN" w:bidi="ar"/>
              </w:rPr>
              <w:t>选取城市轨道交通客运服务的日常基本礼仪、票务服务、站厅服务、站台服务、列车司机服务、特殊乘客及应急服务、乘客投诉处理等典型的工作任务，通过校内实训、情境模拟、案例分析等多种形式组织教学，使学生在强化实践中加深对专业知识、技能的理解与应用，培养现代服务理念。</w:t>
            </w:r>
          </w:p>
        </w:tc>
        <w:tc>
          <w:tcPr>
            <w:tcW w:w="8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935" w:hRule="atLeast"/>
        </w:trPr>
        <w:tc>
          <w:tcPr>
            <w:tcW w:w="752" w:type="dxa"/>
            <w:vMerge w:val="continue"/>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素质目标：</w:t>
            </w:r>
            <w:r>
              <w:rPr>
                <w:rStyle w:val="50"/>
                <w:sz w:val="20"/>
                <w:szCs w:val="20"/>
                <w:lang w:val="en-US" w:eastAsia="zh-CN" w:bidi="ar"/>
              </w:rPr>
              <w:t>初步培养客运服务职业习惯，提升就业或职业素质。具有团队协作精神和良好的交流能力。培养良好的沟通能力及奉献精神。能及时发现工作中出现的问题，并分析问题和提出解决方案。</w:t>
            </w:r>
          </w:p>
        </w:tc>
        <w:tc>
          <w:tcPr>
            <w:tcW w:w="2835"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5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bidi w:val="0"/>
        <w:rPr>
          <w:rFonts w:hint="eastAsia"/>
        </w:rPr>
      </w:pPr>
    </w:p>
    <w:p>
      <w:pPr>
        <w:bidi w:val="0"/>
        <w:rPr>
          <w:rFonts w:hint="eastAsia"/>
        </w:rPr>
      </w:pPr>
    </w:p>
    <w:p>
      <w:pPr>
        <w:bidi w:val="0"/>
        <w:rPr>
          <w:rFonts w:hint="eastAsia"/>
        </w:rPr>
      </w:pPr>
    </w:p>
    <w:p>
      <w:pPr>
        <w:keepNext/>
        <w:keepLines/>
        <w:numPr>
          <w:ilvl w:val="0"/>
          <w:numId w:val="0"/>
        </w:numPr>
        <w:snapToGrid w:val="0"/>
        <w:spacing w:line="360" w:lineRule="auto"/>
        <w:outlineLvl w:val="2"/>
        <w:rPr>
          <w:rFonts w:hint="eastAsia" w:ascii="宋体" w:hAnsi="宋体" w:cs="宋体"/>
          <w:b/>
          <w:bCs/>
          <w:kern w:val="44"/>
          <w:sz w:val="24"/>
        </w:rPr>
      </w:pPr>
      <w:r>
        <w:rPr>
          <w:rFonts w:hint="eastAsia" w:ascii="宋体" w:hAnsi="宋体" w:cs="宋体"/>
          <w:b/>
          <w:bCs/>
          <w:kern w:val="44"/>
          <w:sz w:val="24"/>
          <w:lang w:val="en-US" w:eastAsia="zh-CN"/>
        </w:rPr>
        <w:t>5.</w:t>
      </w:r>
      <w:r>
        <w:rPr>
          <w:rFonts w:hint="eastAsia" w:ascii="宋体" w:hAnsi="宋体" w:cs="宋体"/>
          <w:b/>
          <w:bCs/>
          <w:kern w:val="44"/>
          <w:sz w:val="24"/>
        </w:rPr>
        <w:t>专业</w:t>
      </w:r>
      <w:r>
        <w:rPr>
          <w:rFonts w:hint="eastAsia" w:ascii="宋体" w:hAnsi="宋体" w:cs="宋体"/>
          <w:b/>
          <w:bCs/>
          <w:kern w:val="44"/>
          <w:sz w:val="24"/>
          <w:lang w:val="en-US" w:eastAsia="zh-CN"/>
        </w:rPr>
        <w:t>拓展</w:t>
      </w:r>
      <w:r>
        <w:rPr>
          <w:rFonts w:hint="eastAsia" w:ascii="宋体" w:hAnsi="宋体" w:cs="宋体"/>
          <w:b/>
          <w:bCs/>
          <w:kern w:val="44"/>
          <w:sz w:val="24"/>
        </w:rPr>
        <w:t>课程</w:t>
      </w:r>
    </w:p>
    <w:tbl>
      <w:tblPr>
        <w:tblStyle w:val="24"/>
        <w:tblW w:w="9587" w:type="dxa"/>
        <w:tblInd w:w="11" w:type="dxa"/>
        <w:shd w:val="clear" w:color="auto" w:fill="auto"/>
        <w:tblLayout w:type="fixed"/>
        <w:tblCellMar>
          <w:top w:w="0" w:type="dxa"/>
          <w:left w:w="108" w:type="dxa"/>
          <w:bottom w:w="0" w:type="dxa"/>
          <w:right w:w="108" w:type="dxa"/>
        </w:tblCellMar>
      </w:tblPr>
      <w:tblGrid>
        <w:gridCol w:w="743"/>
        <w:gridCol w:w="1171"/>
        <w:gridCol w:w="3712"/>
        <w:gridCol w:w="2317"/>
        <w:gridCol w:w="850"/>
        <w:gridCol w:w="794"/>
      </w:tblGrid>
      <w:tr>
        <w:tblPrEx>
          <w:shd w:val="clear" w:color="auto" w:fill="auto"/>
          <w:tblCellMar>
            <w:top w:w="0" w:type="dxa"/>
            <w:left w:w="108" w:type="dxa"/>
            <w:bottom w:w="0" w:type="dxa"/>
            <w:right w:w="108" w:type="dxa"/>
          </w:tblCellMar>
        </w:tblPrEx>
        <w:trPr>
          <w:trHeight w:val="907" w:hRule="atLeast"/>
          <w:tblHeader/>
        </w:trPr>
        <w:tc>
          <w:tcPr>
            <w:tcW w:w="743" w:type="dxa"/>
            <w:tcBorders>
              <w:top w:val="single" w:color="000000" w:sz="8" w:space="0"/>
              <w:left w:val="single" w:color="000000" w:sz="8" w:space="0"/>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课程性质</w:t>
            </w:r>
          </w:p>
        </w:tc>
        <w:tc>
          <w:tcPr>
            <w:tcW w:w="1171" w:type="dxa"/>
            <w:tcBorders>
              <w:top w:val="single" w:color="000000" w:sz="8" w:space="0"/>
              <w:left w:val="nil"/>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课程名称</w:t>
            </w:r>
          </w:p>
        </w:tc>
        <w:tc>
          <w:tcPr>
            <w:tcW w:w="3712" w:type="dxa"/>
            <w:tcBorders>
              <w:top w:val="single" w:color="000000" w:sz="8" w:space="0"/>
              <w:left w:val="nil"/>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课程目标</w:t>
            </w:r>
          </w:p>
        </w:tc>
        <w:tc>
          <w:tcPr>
            <w:tcW w:w="2317" w:type="dxa"/>
            <w:tcBorders>
              <w:top w:val="single" w:color="000000" w:sz="8" w:space="0"/>
              <w:left w:val="nil"/>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主要教学内容与要求</w:t>
            </w:r>
          </w:p>
        </w:tc>
        <w:tc>
          <w:tcPr>
            <w:tcW w:w="850" w:type="dxa"/>
            <w:tcBorders>
              <w:top w:val="single" w:color="000000" w:sz="8" w:space="0"/>
              <w:left w:val="nil"/>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学分/学时</w:t>
            </w:r>
          </w:p>
        </w:tc>
        <w:tc>
          <w:tcPr>
            <w:tcW w:w="794" w:type="dxa"/>
            <w:tcBorders>
              <w:top w:val="single" w:color="000000" w:sz="8" w:space="0"/>
              <w:left w:val="nil"/>
              <w:bottom w:val="single" w:color="000000" w:sz="8" w:space="0"/>
              <w:right w:val="single" w:color="000000" w:sz="8" w:space="0"/>
            </w:tcBorders>
            <w:shd w:val="clear" w:color="auto" w:fill="F1F1F1" w:themeFill="background1" w:themeFillShade="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1632" w:hRule="atLeast"/>
        </w:trPr>
        <w:tc>
          <w:tcPr>
            <w:tcW w:w="74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选修课</w:t>
            </w: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城市轨道交通法规</w:t>
            </w:r>
          </w:p>
        </w:tc>
        <w:tc>
          <w:tcPr>
            <w:tcW w:w="371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知识目标：</w:t>
            </w:r>
            <w:r>
              <w:rPr>
                <w:rStyle w:val="53"/>
                <w:sz w:val="21"/>
                <w:szCs w:val="21"/>
                <w:lang w:val="en-US" w:eastAsia="zh-CN" w:bidi="ar"/>
              </w:rPr>
              <w:t>掌握我国法律的基本知识及国家方针政策轨道交通法律关系和轨道交通企业经营管理的法律制度及轨道交通运营管理中的相关法律法规。</w:t>
            </w:r>
          </w:p>
        </w:tc>
        <w:tc>
          <w:tcPr>
            <w:tcW w:w="231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主要内容：</w:t>
            </w:r>
            <w:r>
              <w:rPr>
                <w:rStyle w:val="53"/>
                <w:sz w:val="21"/>
                <w:szCs w:val="21"/>
                <w:lang w:val="en-US" w:eastAsia="zh-CN" w:bidi="ar"/>
              </w:rPr>
              <w:t>轨道交通法规导论、城市轨道交通相关法律、城市轨道交通相关法规、城市轨道交通规章与标准。</w:t>
            </w:r>
          </w:p>
        </w:tc>
        <w:tc>
          <w:tcPr>
            <w:tcW w:w="85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794"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84" w:hRule="atLeast"/>
        </w:trPr>
        <w:tc>
          <w:tcPr>
            <w:tcW w:w="74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能力目标：</w:t>
            </w:r>
            <w:r>
              <w:rPr>
                <w:rStyle w:val="53"/>
                <w:sz w:val="21"/>
                <w:szCs w:val="21"/>
                <w:lang w:val="en-US" w:eastAsia="zh-CN" w:bidi="ar"/>
              </w:rPr>
              <w:t>使学生分清轨道交通运营中的法律主体之间的关系，达到运用所学轨道交通法律法规知识分析在轨道交通运营实践中的法律问题；提高学生依法分析问题、解决轨道交通客运纠纷的能力，从而为我国的轨道交通运输行业的发展培养高技能的应用性人才。</w:t>
            </w:r>
          </w:p>
        </w:tc>
        <w:tc>
          <w:tcPr>
            <w:tcW w:w="231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教学要求：</w:t>
            </w:r>
            <w:r>
              <w:rPr>
                <w:rStyle w:val="53"/>
                <w:sz w:val="21"/>
                <w:szCs w:val="21"/>
                <w:lang w:val="en-US" w:eastAsia="zh-CN" w:bidi="ar"/>
              </w:rPr>
              <w:t>以“学习任务单”的方式通过掌握城市轨道交通相关法律、城市轨道交通相关法规、城市轨道交通规章与标准的学习，使学生具备轨道交通法规的基本理论知识和实际生产操作技能的基础。</w:t>
            </w:r>
          </w:p>
        </w:tc>
        <w:tc>
          <w:tcPr>
            <w:tcW w:w="8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1462" w:hRule="atLeast"/>
        </w:trPr>
        <w:tc>
          <w:tcPr>
            <w:tcW w:w="74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素质目标：</w:t>
            </w:r>
            <w:r>
              <w:rPr>
                <w:rStyle w:val="53"/>
                <w:sz w:val="21"/>
                <w:szCs w:val="21"/>
                <w:lang w:val="en-US" w:eastAsia="zh-CN" w:bidi="ar"/>
              </w:rPr>
              <w:t>旨在培养学生按照轨道交通法律法规完成轨道交通运营管理工作。</w:t>
            </w:r>
          </w:p>
        </w:tc>
        <w:tc>
          <w:tcPr>
            <w:tcW w:w="2317"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8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579" w:hRule="atLeast"/>
        </w:trPr>
        <w:tc>
          <w:tcPr>
            <w:tcW w:w="74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城市轨道交通车站运作管理</w:t>
            </w:r>
          </w:p>
        </w:tc>
        <w:tc>
          <w:tcPr>
            <w:tcW w:w="371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知识目标：</w:t>
            </w:r>
            <w:r>
              <w:rPr>
                <w:rStyle w:val="53"/>
                <w:sz w:val="21"/>
                <w:szCs w:val="21"/>
                <w:lang w:val="en-US" w:eastAsia="zh-CN" w:bidi="ar"/>
              </w:rPr>
              <w:t>对车站管理的各个管理环节作初步了解，包括车站设置、车站管理、接管、车站设备设施管理、车站行车业务、车站客运业务、票务业务、车站施工管理、安全管理、综合管理、应急处理等。</w:t>
            </w:r>
          </w:p>
        </w:tc>
        <w:tc>
          <w:tcPr>
            <w:tcW w:w="231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主要内容：</w:t>
            </w:r>
            <w:r>
              <w:rPr>
                <w:rStyle w:val="53"/>
                <w:sz w:val="21"/>
                <w:szCs w:val="21"/>
                <w:lang w:val="en-US" w:eastAsia="zh-CN" w:bidi="ar"/>
              </w:rPr>
              <w:t>车站概述、车站管理概述、新线车站接管、车站设备设施管理、车站行车业务、车站客运业务、车站票务业务、车站施工管理、车站安全管理、车站综合管理、车站应急处置</w:t>
            </w:r>
          </w:p>
        </w:tc>
        <w:tc>
          <w:tcPr>
            <w:tcW w:w="85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794"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1192" w:hRule="atLeast"/>
        </w:trPr>
        <w:tc>
          <w:tcPr>
            <w:tcW w:w="74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能力目标：</w:t>
            </w:r>
            <w:r>
              <w:rPr>
                <w:rStyle w:val="53"/>
                <w:sz w:val="21"/>
                <w:szCs w:val="21"/>
                <w:lang w:val="en-US" w:eastAsia="zh-CN" w:bidi="ar"/>
              </w:rPr>
              <w:t>基本能熟练操作车站内各类设施设备，能进行最基础的车站应急处理。</w:t>
            </w:r>
          </w:p>
        </w:tc>
        <w:tc>
          <w:tcPr>
            <w:tcW w:w="231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教学要求：</w:t>
            </w:r>
            <w:r>
              <w:rPr>
                <w:rStyle w:val="53"/>
                <w:sz w:val="21"/>
                <w:szCs w:val="21"/>
                <w:lang w:val="en-US" w:eastAsia="zh-CN" w:bidi="ar"/>
              </w:rPr>
              <w:t>以理论教学为基础，并坚持理论与实际相结合、教师与企业专业相结合、传统教学手段与现代教育技术应用相结合等原则，着力提升教学效果。</w:t>
            </w:r>
          </w:p>
        </w:tc>
        <w:tc>
          <w:tcPr>
            <w:tcW w:w="8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1349" w:hRule="atLeast"/>
        </w:trPr>
        <w:tc>
          <w:tcPr>
            <w:tcW w:w="74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素质目标：</w:t>
            </w:r>
            <w:r>
              <w:rPr>
                <w:rStyle w:val="53"/>
                <w:sz w:val="21"/>
                <w:szCs w:val="21"/>
                <w:lang w:val="en-US" w:eastAsia="zh-CN" w:bidi="ar"/>
              </w:rPr>
              <w:t>培养学生团队合作、微笑服务意识、工作主动性的基本职业素养。</w:t>
            </w:r>
          </w:p>
        </w:tc>
        <w:tc>
          <w:tcPr>
            <w:tcW w:w="2317"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8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359" w:hRule="atLeast"/>
        </w:trPr>
        <w:tc>
          <w:tcPr>
            <w:tcW w:w="743" w:type="dxa"/>
            <w:vMerge w:val="restart"/>
            <w:tcBorders>
              <w:top w:val="single" w:color="000000" w:sz="8" w:space="0"/>
              <w:left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普通话</w:t>
            </w:r>
          </w:p>
        </w:tc>
        <w:tc>
          <w:tcPr>
            <w:tcW w:w="371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知识目标：</w:t>
            </w:r>
            <w:r>
              <w:rPr>
                <w:rStyle w:val="53"/>
                <w:sz w:val="21"/>
                <w:szCs w:val="21"/>
                <w:lang w:val="en-US" w:eastAsia="zh-CN" w:bidi="ar"/>
              </w:rPr>
              <w:t>掌握普通话的标准定义，认识普通话推广的重要意义，增强语言规范意识。了解普通话水平测试的等级标准，测试对象及要求和普通话水平测试试卷。较系统地掌握普通话语音基本知识和普通话声、韵、调、音变的发音要领，具备较强的方音辩证能力和自我训练能力掌握好普通话的方法，掌握科学的呼吸方法、训练共鸣控制和吐字归因。</w:t>
            </w:r>
          </w:p>
        </w:tc>
        <w:tc>
          <w:tcPr>
            <w:tcW w:w="231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主要内容：</w:t>
            </w:r>
            <w:r>
              <w:rPr>
                <w:rStyle w:val="53"/>
                <w:sz w:val="21"/>
                <w:szCs w:val="21"/>
                <w:lang w:val="en-US" w:eastAsia="zh-CN" w:bidi="ar"/>
              </w:rPr>
              <w:t>了解普通话声母、韵母、声调和音变的主要区别，进行辩正练习；了解普通话水平测试的有关要求，熟悉应试技巧，针对声母和韵母、声调和音变得读音错误和缺陷进行训练，并了解朗读和说话时应注意的问题。</w:t>
            </w:r>
          </w:p>
        </w:tc>
        <w:tc>
          <w:tcPr>
            <w:tcW w:w="85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794"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643" w:hRule="atLeast"/>
        </w:trPr>
        <w:tc>
          <w:tcPr>
            <w:tcW w:w="743" w:type="dxa"/>
            <w:vMerge w:val="continue"/>
            <w:tcBorders>
              <w:left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能力目标：</w:t>
            </w:r>
            <w:r>
              <w:rPr>
                <w:rStyle w:val="53"/>
                <w:sz w:val="21"/>
                <w:szCs w:val="21"/>
                <w:lang w:val="en-US" w:eastAsia="zh-CN" w:bidi="ar"/>
              </w:rPr>
              <w:t>能用规范标准或比较规范标准的普通话进行朗读、说话、演讲及其他口语交际，针对普通话水平测试进行有效的训练，把握应试要领，能顺利通过普通话水平测试并达到国家规定的相应等级标准。具备一定的交际和职业口语素养。</w:t>
            </w:r>
          </w:p>
        </w:tc>
        <w:tc>
          <w:tcPr>
            <w:tcW w:w="231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教学要求：</w:t>
            </w:r>
            <w:r>
              <w:rPr>
                <w:rStyle w:val="53"/>
                <w:sz w:val="21"/>
                <w:szCs w:val="21"/>
                <w:lang w:val="en-US" w:eastAsia="zh-CN" w:bidi="ar"/>
              </w:rPr>
              <w:t>本课程具有实践性、实用性等特点，是一门应用型的人文学科，在课堂教学上要注重突出其特点，实施有效的教学方法，达到教学效果。</w:t>
            </w:r>
          </w:p>
        </w:tc>
        <w:tc>
          <w:tcPr>
            <w:tcW w:w="8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1301" w:hRule="atLeast"/>
        </w:trPr>
        <w:tc>
          <w:tcPr>
            <w:tcW w:w="743" w:type="dxa"/>
            <w:vMerge w:val="continue"/>
            <w:tcBorders>
              <w:left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素质目标：</w:t>
            </w:r>
            <w:r>
              <w:rPr>
                <w:rStyle w:val="53"/>
                <w:sz w:val="21"/>
                <w:szCs w:val="21"/>
                <w:lang w:val="en-US" w:eastAsia="zh-CN" w:bidi="ar"/>
              </w:rPr>
              <w:t>树立“一口标准流利的普通话是现代职业人员必备的基本素质，必须重视普通话口语的学习”，树立科学的用气发生观念。</w:t>
            </w:r>
          </w:p>
        </w:tc>
        <w:tc>
          <w:tcPr>
            <w:tcW w:w="2317"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8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816" w:hRule="atLeast"/>
        </w:trPr>
        <w:tc>
          <w:tcPr>
            <w:tcW w:w="743" w:type="dxa"/>
            <w:vMerge w:val="continue"/>
            <w:tcBorders>
              <w:left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1"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自动售检票系统及检修</w:t>
            </w:r>
          </w:p>
        </w:tc>
        <w:tc>
          <w:tcPr>
            <w:tcW w:w="371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知识目标：</w:t>
            </w:r>
            <w:r>
              <w:rPr>
                <w:rStyle w:val="53"/>
                <w:sz w:val="21"/>
                <w:szCs w:val="21"/>
                <w:lang w:val="en-US" w:eastAsia="zh-CN" w:bidi="ar"/>
              </w:rPr>
              <w:t>掌握自动售检票系统的基础知识,掌握自动售票机的基本结构和工作原理,掌握自动检票机的基本结构和工作原理,掌握票房售票机的基本结构和工作原理,了解自动验票机和便携式验票机的基本结构和工作原理,掌握SC、LC、ACC的系统架构,了解AFC系统工程施工及其他专业的接口,掌握故障处理方法。</w:t>
            </w:r>
          </w:p>
        </w:tc>
        <w:tc>
          <w:tcPr>
            <w:tcW w:w="231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主要内容：票务工作的原理、票务设备的操作及检修。</w:t>
            </w:r>
          </w:p>
        </w:tc>
        <w:tc>
          <w:tcPr>
            <w:tcW w:w="850"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7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1568" w:hRule="atLeast"/>
        </w:trPr>
        <w:tc>
          <w:tcPr>
            <w:tcW w:w="743" w:type="dxa"/>
            <w:vMerge w:val="continue"/>
            <w:tcBorders>
              <w:left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1"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能力目标：</w:t>
            </w:r>
            <w:r>
              <w:rPr>
                <w:rStyle w:val="53"/>
                <w:sz w:val="21"/>
                <w:szCs w:val="21"/>
                <w:lang w:val="en-US" w:eastAsia="zh-CN" w:bidi="ar"/>
              </w:rPr>
              <w:t>通过本课程的学习，使学生能够掌握城市轨道交通票务系统基础设备的组成和工作原理，具备维修城市轨道交通自动售检票系统设备的职业能力和一定的故障解决能力。</w:t>
            </w:r>
          </w:p>
        </w:tc>
        <w:tc>
          <w:tcPr>
            <w:tcW w:w="231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教学要求：</w:t>
            </w:r>
            <w:r>
              <w:rPr>
                <w:rStyle w:val="53"/>
                <w:sz w:val="21"/>
                <w:szCs w:val="21"/>
                <w:lang w:val="en-US" w:eastAsia="zh-CN" w:bidi="ar"/>
              </w:rPr>
              <w:t>以“学习任务单”的方式通过车站票务事务、票务设备操作、设备故障分析等学习，使学生具备轨道交通票务工作的基本技能。</w:t>
            </w:r>
          </w:p>
        </w:tc>
        <w:tc>
          <w:tcPr>
            <w:tcW w:w="850"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4" w:type="dxa"/>
            <w:vMerge w:val="restart"/>
            <w:tcBorders>
              <w:top w:val="single" w:color="000000" w:sz="8" w:space="0"/>
              <w:left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145" w:hRule="atLeast"/>
        </w:trPr>
        <w:tc>
          <w:tcPr>
            <w:tcW w:w="743" w:type="dxa"/>
            <w:vMerge w:val="continue"/>
            <w:tcBorders>
              <w:left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1" w:type="dxa"/>
            <w:vMerge w:val="continue"/>
            <w:tcBorders>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素质目标：</w:t>
            </w:r>
            <w:r>
              <w:rPr>
                <w:rStyle w:val="53"/>
                <w:sz w:val="21"/>
                <w:szCs w:val="21"/>
                <w:lang w:val="en-US" w:eastAsia="zh-CN" w:bidi="ar"/>
              </w:rPr>
              <w:t>培养获取、领会和理解外界信息的能力；培养语言表达以及对各类城市轨道交通售检票系统设备故障分析和判断的能力；培养自我发展能力、 学习能力；培养交流沟通和团队协作能力；培养诚实守信、敬业爱岗的良好职业道德；培养主动地思考设备故障问题，独立地分析问题和解决设备问题的能力。</w:t>
            </w:r>
          </w:p>
        </w:tc>
        <w:tc>
          <w:tcPr>
            <w:tcW w:w="2317"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850" w:type="dxa"/>
            <w:vMerge w:val="continue"/>
            <w:tcBorders>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036" w:hRule="atLeast"/>
        </w:trPr>
        <w:tc>
          <w:tcPr>
            <w:tcW w:w="743" w:type="dxa"/>
            <w:vMerge w:val="continue"/>
            <w:tcBorders>
              <w:left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城轨应急处理与公共安全</w:t>
            </w:r>
          </w:p>
        </w:tc>
        <w:tc>
          <w:tcPr>
            <w:tcW w:w="371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知识目标：</w:t>
            </w:r>
            <w:r>
              <w:rPr>
                <w:rStyle w:val="53"/>
                <w:sz w:val="21"/>
                <w:szCs w:val="21"/>
                <w:lang w:val="en-US" w:eastAsia="zh-CN" w:bidi="ar"/>
              </w:rPr>
              <w:t>掌握城市轨道安全管理的概念及安全管理相关知识。了解安全标志的定义、作用、类型及布置要求。了解城市轨道交通运营劳动安全守则。了解城市轨道交通事故报告要求、原则、流程与内容，事故调查的内容、手段。掌握城市轨道交通运营行车安全事故预防等。掌握城市轨道交通常见故障的应急处置。</w:t>
            </w:r>
          </w:p>
        </w:tc>
        <w:tc>
          <w:tcPr>
            <w:tcW w:w="231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主要内容：</w:t>
            </w:r>
            <w:r>
              <w:rPr>
                <w:rStyle w:val="53"/>
                <w:sz w:val="21"/>
                <w:szCs w:val="21"/>
                <w:lang w:val="en-US" w:eastAsia="zh-CN" w:bidi="ar"/>
              </w:rPr>
              <w:t>城市轨道交通安全管理基础、安全文化、应急管理、运营行车安全事故预防、设备安全事故预防、突发事件现场应急处置、安全案例分析。</w:t>
            </w:r>
          </w:p>
        </w:tc>
        <w:tc>
          <w:tcPr>
            <w:tcW w:w="85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794"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208" w:hRule="atLeast"/>
        </w:trPr>
        <w:tc>
          <w:tcPr>
            <w:tcW w:w="743" w:type="dxa"/>
            <w:vMerge w:val="continue"/>
            <w:tcBorders>
              <w:left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能力目标：</w:t>
            </w:r>
            <w:r>
              <w:rPr>
                <w:rStyle w:val="53"/>
                <w:sz w:val="21"/>
                <w:szCs w:val="21"/>
                <w:lang w:val="en-US" w:eastAsia="zh-CN" w:bidi="ar"/>
              </w:rPr>
              <w:t>能正确认识安全生产形势及安全文化建设的重要性。有效辨别各类安全标志。掌握事故报告流程及事故调查处置。正确进行相关行车安全事故的预防。具备城市轨道交通安全管理的基本能力。</w:t>
            </w:r>
          </w:p>
        </w:tc>
        <w:tc>
          <w:tcPr>
            <w:tcW w:w="231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教学要求：</w:t>
            </w:r>
            <w:r>
              <w:rPr>
                <w:rStyle w:val="53"/>
                <w:sz w:val="21"/>
                <w:szCs w:val="21"/>
                <w:lang w:val="en-US" w:eastAsia="zh-CN" w:bidi="ar"/>
              </w:rPr>
              <w:t>采用“课堂集中教学、课后分组讨论、课堂总结汇报”的课程组织形式，辅助采用多媒体等现代教学工具，充分调动学生学习兴趣，促进学生积极思考，使学生对城市轨道交通安全管理进一步掌握，提高学生对城市轨道交通安全管理的认知能力。</w:t>
            </w:r>
          </w:p>
        </w:tc>
        <w:tc>
          <w:tcPr>
            <w:tcW w:w="8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90" w:hRule="atLeast"/>
        </w:trPr>
        <w:tc>
          <w:tcPr>
            <w:tcW w:w="743" w:type="dxa"/>
            <w:vMerge w:val="continue"/>
            <w:tcBorders>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素质目标：</w:t>
            </w:r>
            <w:r>
              <w:rPr>
                <w:rStyle w:val="53"/>
                <w:sz w:val="21"/>
                <w:szCs w:val="21"/>
                <w:lang w:val="en-US" w:eastAsia="zh-CN" w:bidi="ar"/>
              </w:rPr>
              <w:t>旨在培养学生的基本安全知识、安全技能与综合安全素质。</w:t>
            </w:r>
          </w:p>
        </w:tc>
        <w:tc>
          <w:tcPr>
            <w:tcW w:w="2317"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8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1800" w:hRule="atLeast"/>
        </w:trPr>
        <w:tc>
          <w:tcPr>
            <w:tcW w:w="743" w:type="dxa"/>
            <w:vMerge w:val="restart"/>
            <w:tcBorders>
              <w:top w:val="single" w:color="000000" w:sz="8" w:space="0"/>
              <w:left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城市轨道交通站务实训</w:t>
            </w:r>
          </w:p>
        </w:tc>
        <w:tc>
          <w:tcPr>
            <w:tcW w:w="371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知识目标：</w:t>
            </w:r>
            <w:r>
              <w:rPr>
                <w:rStyle w:val="53"/>
                <w:sz w:val="21"/>
                <w:szCs w:val="21"/>
                <w:lang w:val="en-US" w:eastAsia="zh-CN" w:bidi="ar"/>
              </w:rPr>
              <w:t>掌握车站初级站务员理论知识，包括车站运作基础、安全基础知识、车站行车组织与施工组织、车站客运服务与组织、票务组织、应急管理。</w:t>
            </w:r>
          </w:p>
        </w:tc>
        <w:tc>
          <w:tcPr>
            <w:tcW w:w="231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主要内容：</w:t>
            </w:r>
            <w:r>
              <w:rPr>
                <w:rStyle w:val="53"/>
                <w:sz w:val="21"/>
                <w:szCs w:val="21"/>
                <w:lang w:val="en-US" w:eastAsia="zh-CN" w:bidi="ar"/>
              </w:rPr>
              <w:t>城市轨道交通初级站务员必须具备的理论与实操内容。</w:t>
            </w:r>
          </w:p>
        </w:tc>
        <w:tc>
          <w:tcPr>
            <w:tcW w:w="8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794"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140" w:hRule="atLeast"/>
        </w:trPr>
        <w:tc>
          <w:tcPr>
            <w:tcW w:w="74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712"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能力目标：</w:t>
            </w:r>
            <w:r>
              <w:rPr>
                <w:rStyle w:val="53"/>
                <w:sz w:val="21"/>
                <w:szCs w:val="21"/>
                <w:lang w:val="en-US" w:eastAsia="zh-CN" w:bidi="ar"/>
              </w:rPr>
              <w:t>客运服务方面，能开展服务秩序维护（设备状态巡视、乘客状态巡视），能进行乘客事务处理（寻人寻物、乘客问询与建议），能进行基本的客流组织（引导乘客有序进站乘车，疏导乘客有序出站）。票务运作方面，能进行售卖票过程现金票据管理，能进行基本的票务事务处理。行车组织方面，能进行基本站台岗作业，配合车控室开展非正常情况下的行车组织。</w:t>
            </w:r>
          </w:p>
        </w:tc>
        <w:tc>
          <w:tcPr>
            <w:tcW w:w="231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教学要求：</w:t>
            </w:r>
            <w:r>
              <w:rPr>
                <w:rStyle w:val="53"/>
                <w:sz w:val="21"/>
                <w:szCs w:val="21"/>
                <w:lang w:val="en-US" w:eastAsia="zh-CN" w:bidi="ar"/>
              </w:rPr>
              <w:t>以1+X 站务员证书为导向，采用任务清单形式，学生分小组学习，展开理论和实训教与学。</w:t>
            </w:r>
          </w:p>
        </w:tc>
        <w:tc>
          <w:tcPr>
            <w:tcW w:w="8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1449" w:hRule="atLeast"/>
        </w:trPr>
        <w:tc>
          <w:tcPr>
            <w:tcW w:w="74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71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素质目标：</w:t>
            </w:r>
            <w:r>
              <w:rPr>
                <w:rStyle w:val="53"/>
                <w:sz w:val="21"/>
                <w:szCs w:val="21"/>
                <w:lang w:val="en-US" w:eastAsia="zh-CN" w:bidi="ar"/>
              </w:rPr>
              <w:t>培养学生牢固树立安全第一意识，有较高的服务意识，能主动解决问题，团结合作，为地铁服务树立一道良好的服务风景线。</w:t>
            </w:r>
          </w:p>
        </w:tc>
        <w:tc>
          <w:tcPr>
            <w:tcW w:w="2317"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8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2473" w:hRule="atLeast"/>
        </w:trPr>
        <w:tc>
          <w:tcPr>
            <w:tcW w:w="74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1" w:type="dxa"/>
            <w:vMerge w:val="restart"/>
            <w:tcBorders>
              <w:top w:val="single" w:color="000000" w:sz="8" w:space="0"/>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城市轨道交通信号设备基础与实训</w:t>
            </w:r>
          </w:p>
        </w:tc>
        <w:tc>
          <w:tcPr>
            <w:tcW w:w="3712"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知识目标：</w:t>
            </w:r>
            <w:r>
              <w:rPr>
                <w:rStyle w:val="53"/>
                <w:sz w:val="21"/>
                <w:szCs w:val="21"/>
                <w:lang w:val="en-US" w:eastAsia="zh-CN" w:bidi="ar"/>
              </w:rPr>
              <w:t>掌握信号系统基础设备的工作原理；掌握ATC及其各子系统的工作原理；掌握列车自动运行、车站程序定位停车工作原理。 手摇道岔步骤流程，信号类故障处理流程</w:t>
            </w:r>
          </w:p>
        </w:tc>
        <w:tc>
          <w:tcPr>
            <w:tcW w:w="231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主要内容：</w:t>
            </w:r>
            <w:r>
              <w:rPr>
                <w:rStyle w:val="53"/>
                <w:sz w:val="21"/>
                <w:szCs w:val="21"/>
                <w:lang w:val="en-US" w:eastAsia="zh-CN" w:bidi="ar"/>
              </w:rPr>
              <w:t>通过本课程的学习，使学生能够掌握轨道信号基础设备的组成、作用原理，具备使用城市轨道交通信号基础设备的职业能力和一定的故障处理能力。</w:t>
            </w:r>
          </w:p>
        </w:tc>
        <w:tc>
          <w:tcPr>
            <w:tcW w:w="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7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457" w:hRule="atLeast"/>
        </w:trPr>
        <w:tc>
          <w:tcPr>
            <w:tcW w:w="743" w:type="dxa"/>
            <w:vMerge w:val="restart"/>
            <w:tcBorders>
              <w:top w:val="single" w:color="000000" w:sz="8" w:space="0"/>
              <w:left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1" w:type="dxa"/>
            <w:vMerge w:val="continue"/>
            <w:tcBorders>
              <w:left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71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能力目标：</w:t>
            </w:r>
            <w:r>
              <w:rPr>
                <w:rStyle w:val="53"/>
                <w:sz w:val="21"/>
                <w:szCs w:val="21"/>
                <w:lang w:val="en-US" w:eastAsia="zh-CN" w:bidi="ar"/>
              </w:rPr>
              <w:t>掌握城市轨道交通信号系统在城市轨道交通系统中的作用；了解城市轨道交通信号系统的主要组成；明确闭塞及联锁的概念；掌握城市轨道交通列车自动运行控制（ATC）系统的发展、不同结构的ATC系统的主要特征、传输的信息内容，掌握ATP、ATO、ATS子系统的组成及功能，熟悉工作原理；掌握列车自动运行和在车站的程序定位停车原理。掌握手摇道岔实操技能，掌握信号类故障处理方法。</w:t>
            </w:r>
          </w:p>
        </w:tc>
        <w:tc>
          <w:tcPr>
            <w:tcW w:w="2317"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教学要求：</w:t>
            </w:r>
            <w:r>
              <w:rPr>
                <w:rStyle w:val="53"/>
                <w:sz w:val="21"/>
                <w:szCs w:val="21"/>
                <w:lang w:val="en-US" w:eastAsia="zh-CN" w:bidi="ar"/>
              </w:rPr>
              <w:t>通过任务清单模式，在模拟城轨信号工区的工作情景下进行信号工技能训练。依托绍兴地铁，以信号日常设备日常运行、维修能力培养为主线展开教学。</w:t>
            </w:r>
          </w:p>
        </w:tc>
        <w:tc>
          <w:tcPr>
            <w:tcW w:w="850" w:type="dxa"/>
            <w:vMerge w:val="restart"/>
            <w:tcBorders>
              <w:top w:val="nil"/>
              <w:left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4" w:type="dxa"/>
            <w:vMerge w:val="restart"/>
            <w:tcBorders>
              <w:top w:val="single" w:color="000000" w:sz="8" w:space="0"/>
              <w:left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2432" w:hRule="atLeast"/>
        </w:trPr>
        <w:tc>
          <w:tcPr>
            <w:tcW w:w="74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1" w:type="dxa"/>
            <w:vMerge w:val="continue"/>
            <w:tcBorders>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37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素质目标：</w:t>
            </w:r>
            <w:r>
              <w:rPr>
                <w:rStyle w:val="53"/>
                <w:sz w:val="21"/>
                <w:szCs w:val="21"/>
                <w:lang w:val="en-US" w:eastAsia="zh-CN" w:bidi="ar"/>
              </w:rPr>
              <w:t>培养获取、领会和理解外界信息的能力； 培养语言表达以及对各类信号设备故障分析和判断的能力；培养自我发展能力、 学习能力；培养交流沟通和团队协作能力；培养诚实守信、敬业爱岗的良好职业道德；培养主动地思考问题，独立地分析问题和解决问题的能力。培养迅速果断处理信号设备故障的处置技能。</w:t>
            </w:r>
          </w:p>
        </w:tc>
        <w:tc>
          <w:tcPr>
            <w:tcW w:w="2317"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8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bl>
    <w:p>
      <w:pPr>
        <w:keepNext/>
        <w:keepLines/>
        <w:numPr>
          <w:ilvl w:val="0"/>
          <w:numId w:val="1"/>
        </w:numPr>
        <w:snapToGrid w:val="0"/>
        <w:spacing w:line="440" w:lineRule="exact"/>
        <w:ind w:firstLine="419" w:firstLineChars="174"/>
        <w:outlineLvl w:val="2"/>
        <w:rPr>
          <w:rFonts w:hint="eastAsia" w:ascii="宋体" w:hAnsi="宋体" w:cs="宋体"/>
          <w:b/>
          <w:bCs/>
          <w:kern w:val="44"/>
          <w:sz w:val="24"/>
        </w:rPr>
      </w:pPr>
      <w:r>
        <w:rPr>
          <w:rFonts w:hint="eastAsia" w:ascii="宋体" w:hAnsi="宋体" w:cs="宋体"/>
          <w:b/>
          <w:bCs/>
          <w:kern w:val="44"/>
          <w:sz w:val="24"/>
        </w:rPr>
        <w:t>实践教学体系</w:t>
      </w:r>
    </w:p>
    <w:p>
      <w:pPr>
        <w:bidi w:val="0"/>
        <w:rPr>
          <w:rFonts w:hint="eastAsia"/>
        </w:rPr>
      </w:pPr>
    </w:p>
    <w:p>
      <w:pPr>
        <w:keepNext/>
        <w:keepLines/>
        <w:snapToGrid w:val="0"/>
        <w:spacing w:line="360" w:lineRule="auto"/>
        <w:ind w:firstLine="419" w:firstLineChars="174"/>
        <w:outlineLvl w:val="2"/>
        <w:rPr>
          <w:rFonts w:hint="eastAsia" w:ascii="宋体" w:hAnsi="宋体" w:cs="宋体"/>
          <w:b/>
          <w:bCs/>
          <w:kern w:val="44"/>
          <w:sz w:val="24"/>
        </w:rPr>
      </w:pPr>
      <w:r>
        <w:rPr>
          <w:rFonts w:hint="eastAsia" w:ascii="宋体" w:hAnsi="宋体" w:cs="宋体"/>
          <w:b/>
          <w:bCs/>
          <w:kern w:val="44"/>
          <w:sz w:val="24"/>
        </w:rPr>
        <w:t>1.实践教学体系结构图</w:t>
      </w:r>
    </w:p>
    <w:p>
      <w:pPr>
        <w:snapToGrid w:val="0"/>
        <w:spacing w:line="440" w:lineRule="exact"/>
        <w:ind w:firstLine="480" w:firstLineChars="200"/>
        <w:rPr>
          <w:rFonts w:hint="eastAsia"/>
          <w:color w:val="000000"/>
          <w:sz w:val="24"/>
        </w:rPr>
      </w:pPr>
      <w:r>
        <w:rPr>
          <w:rFonts w:hint="eastAsia"/>
          <w:color w:val="000000"/>
          <w:sz w:val="24"/>
        </w:rPr>
        <w:t>根据城市轨道交通运营管理相关岗位的能力要求，建立“课程实训、专项技能实训、岗位强化实训、校外实习”四个层次递进的实践教学体系，其结构如图</w:t>
      </w:r>
      <w:r>
        <w:rPr>
          <w:color w:val="000000"/>
          <w:sz w:val="24"/>
        </w:rPr>
        <w:t>2</w:t>
      </w:r>
      <w:r>
        <w:rPr>
          <w:rFonts w:hint="eastAsia"/>
          <w:color w:val="000000"/>
          <w:sz w:val="24"/>
        </w:rPr>
        <w:t>所示，其中专项技能实训和岗位强化实训以校内独立实训周的形式开展。</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color w:val="000000"/>
          <w:sz w:val="24"/>
        </w:rPr>
      </w:pPr>
      <w:r>
        <w:pict>
          <v:shape id="_x0000_i1026" o:spt="75" alt="1607092234(1)" type="#_x0000_t75" style="height:269.85pt;width:468.3pt;" filled="f" o:preferrelative="t" stroked="f" coordsize="21600,21600">
            <v:path/>
            <v:fill on="f" focussize="0,0"/>
            <v:stroke on="f"/>
            <v:imagedata r:id="rId6" o:title="1607092234(1)"/>
            <o:lock v:ext="edit" aspectratio="t"/>
            <w10:wrap type="none"/>
            <w10:anchorlock/>
          </v:shape>
        </w:pict>
      </w:r>
    </w:p>
    <w:p>
      <w:pPr>
        <w:snapToGrid w:val="0"/>
        <w:spacing w:line="440" w:lineRule="exact"/>
        <w:jc w:val="center"/>
        <w:rPr>
          <w:rFonts w:ascii="宋体"/>
          <w:b/>
          <w:color w:val="000000"/>
          <w:szCs w:val="21"/>
        </w:rPr>
      </w:pPr>
      <w:r>
        <w:rPr>
          <w:rFonts w:hint="eastAsia" w:ascii="宋体" w:hAnsi="宋体"/>
          <w:b/>
          <w:color w:val="000000"/>
          <w:szCs w:val="21"/>
        </w:rPr>
        <w:t>图</w:t>
      </w:r>
      <w:r>
        <w:rPr>
          <w:rFonts w:ascii="宋体" w:hAnsi="宋体"/>
          <w:b/>
          <w:color w:val="000000"/>
          <w:szCs w:val="21"/>
        </w:rPr>
        <w:t xml:space="preserve">2 </w:t>
      </w:r>
      <w:r>
        <w:rPr>
          <w:rFonts w:hint="eastAsia" w:ascii="宋体" w:hAnsi="宋体"/>
          <w:b/>
          <w:color w:val="000000"/>
          <w:szCs w:val="21"/>
        </w:rPr>
        <w:t xml:space="preserve"> 实践教学体系结构图</w:t>
      </w:r>
    </w:p>
    <w:p>
      <w:pPr>
        <w:keepNext/>
        <w:keepLines/>
        <w:snapToGrid w:val="0"/>
        <w:spacing w:line="360" w:lineRule="auto"/>
        <w:ind w:firstLine="419" w:firstLineChars="174"/>
        <w:outlineLvl w:val="2"/>
        <w:rPr>
          <w:rFonts w:hint="eastAsia" w:ascii="宋体" w:hAnsi="宋体" w:cs="宋体"/>
          <w:b/>
          <w:bCs/>
          <w:kern w:val="44"/>
          <w:sz w:val="24"/>
        </w:rPr>
      </w:pPr>
      <w:r>
        <w:rPr>
          <w:rFonts w:hint="eastAsia" w:ascii="宋体" w:hAnsi="宋体" w:cs="宋体"/>
          <w:b/>
          <w:bCs/>
          <w:kern w:val="44"/>
          <w:sz w:val="24"/>
        </w:rPr>
        <w:t>2.实践教学环节安排</w:t>
      </w:r>
    </w:p>
    <w:tbl>
      <w:tblPr>
        <w:tblStyle w:val="24"/>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764"/>
        <w:gridCol w:w="766"/>
        <w:gridCol w:w="3094"/>
        <w:gridCol w:w="973"/>
        <w:gridCol w:w="986"/>
        <w:gridCol w:w="95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blHeader/>
          <w:jc w:val="center"/>
        </w:trPr>
        <w:tc>
          <w:tcPr>
            <w:tcW w:w="647" w:type="pct"/>
            <w:vAlign w:val="center"/>
          </w:tcPr>
          <w:p>
            <w:pPr>
              <w:snapToGrid w:val="0"/>
              <w:jc w:val="center"/>
              <w:rPr>
                <w:rFonts w:ascii="宋体"/>
                <w:b/>
                <w:szCs w:val="21"/>
              </w:rPr>
            </w:pPr>
            <w:r>
              <w:rPr>
                <w:rFonts w:hint="eastAsia" w:ascii="宋体" w:hAnsi="宋体"/>
                <w:b/>
                <w:szCs w:val="21"/>
              </w:rPr>
              <w:t>课程名称</w:t>
            </w:r>
          </w:p>
        </w:tc>
        <w:tc>
          <w:tcPr>
            <w:tcW w:w="402" w:type="pct"/>
            <w:vAlign w:val="center"/>
          </w:tcPr>
          <w:p>
            <w:pPr>
              <w:snapToGrid w:val="0"/>
              <w:jc w:val="center"/>
              <w:rPr>
                <w:rFonts w:ascii="宋体"/>
                <w:b/>
                <w:szCs w:val="21"/>
              </w:rPr>
            </w:pPr>
            <w:r>
              <w:rPr>
                <w:rFonts w:hint="eastAsia" w:ascii="宋体" w:hAnsi="宋体"/>
                <w:b/>
                <w:szCs w:val="21"/>
              </w:rPr>
              <w:t>课程性质</w:t>
            </w:r>
          </w:p>
        </w:tc>
        <w:tc>
          <w:tcPr>
            <w:tcW w:w="403" w:type="pct"/>
            <w:vAlign w:val="center"/>
          </w:tcPr>
          <w:p>
            <w:pPr>
              <w:snapToGrid w:val="0"/>
              <w:jc w:val="center"/>
              <w:rPr>
                <w:rFonts w:ascii="宋体"/>
                <w:b/>
                <w:szCs w:val="21"/>
              </w:rPr>
            </w:pPr>
            <w:r>
              <w:rPr>
                <w:rFonts w:hint="eastAsia" w:ascii="宋体" w:hAnsi="宋体"/>
                <w:b/>
                <w:szCs w:val="21"/>
              </w:rPr>
              <w:t>周数</w:t>
            </w:r>
          </w:p>
        </w:tc>
        <w:tc>
          <w:tcPr>
            <w:tcW w:w="1628" w:type="pct"/>
            <w:vAlign w:val="center"/>
          </w:tcPr>
          <w:p>
            <w:pPr>
              <w:snapToGrid w:val="0"/>
              <w:jc w:val="center"/>
              <w:rPr>
                <w:rFonts w:ascii="宋体"/>
                <w:b/>
                <w:szCs w:val="21"/>
              </w:rPr>
            </w:pPr>
            <w:r>
              <w:rPr>
                <w:rFonts w:hint="eastAsia" w:ascii="宋体" w:hAnsi="宋体"/>
                <w:b/>
                <w:szCs w:val="21"/>
              </w:rPr>
              <w:t>主要内容及要求</w:t>
            </w:r>
          </w:p>
        </w:tc>
        <w:tc>
          <w:tcPr>
            <w:tcW w:w="512" w:type="pct"/>
            <w:vAlign w:val="center"/>
          </w:tcPr>
          <w:p>
            <w:pPr>
              <w:snapToGrid w:val="0"/>
              <w:jc w:val="center"/>
              <w:rPr>
                <w:rFonts w:ascii="宋体"/>
                <w:b/>
                <w:szCs w:val="21"/>
              </w:rPr>
            </w:pPr>
            <w:r>
              <w:rPr>
                <w:rFonts w:hint="eastAsia" w:ascii="宋体" w:hAnsi="宋体"/>
                <w:b/>
                <w:szCs w:val="21"/>
              </w:rPr>
              <w:t>实践</w:t>
            </w:r>
          </w:p>
          <w:p>
            <w:pPr>
              <w:snapToGrid w:val="0"/>
              <w:jc w:val="center"/>
              <w:rPr>
                <w:rFonts w:ascii="宋体"/>
                <w:b/>
                <w:szCs w:val="21"/>
              </w:rPr>
            </w:pPr>
            <w:r>
              <w:rPr>
                <w:rFonts w:hint="eastAsia" w:ascii="宋体" w:hAnsi="宋体"/>
                <w:b/>
                <w:szCs w:val="21"/>
              </w:rPr>
              <w:t>地点</w:t>
            </w:r>
          </w:p>
        </w:tc>
        <w:tc>
          <w:tcPr>
            <w:tcW w:w="519" w:type="pct"/>
            <w:vAlign w:val="center"/>
          </w:tcPr>
          <w:p>
            <w:pPr>
              <w:snapToGrid w:val="0"/>
              <w:jc w:val="center"/>
              <w:rPr>
                <w:rFonts w:ascii="宋体"/>
                <w:b/>
                <w:szCs w:val="21"/>
              </w:rPr>
            </w:pPr>
            <w:r>
              <w:rPr>
                <w:rFonts w:hint="eastAsia" w:ascii="宋体" w:hAnsi="宋体"/>
                <w:b/>
                <w:szCs w:val="21"/>
              </w:rPr>
              <w:t>实践</w:t>
            </w:r>
          </w:p>
          <w:p>
            <w:pPr>
              <w:snapToGrid w:val="0"/>
              <w:jc w:val="center"/>
              <w:rPr>
                <w:rFonts w:ascii="宋体"/>
                <w:b/>
                <w:szCs w:val="21"/>
              </w:rPr>
            </w:pPr>
            <w:r>
              <w:rPr>
                <w:rFonts w:hint="eastAsia" w:ascii="宋体" w:hAnsi="宋体"/>
                <w:b/>
                <w:szCs w:val="21"/>
              </w:rPr>
              <w:t>成果</w:t>
            </w:r>
          </w:p>
        </w:tc>
        <w:tc>
          <w:tcPr>
            <w:tcW w:w="500" w:type="pct"/>
            <w:vAlign w:val="center"/>
          </w:tcPr>
          <w:p>
            <w:pPr>
              <w:snapToGrid w:val="0"/>
              <w:jc w:val="center"/>
              <w:rPr>
                <w:rFonts w:ascii="宋体"/>
                <w:b/>
                <w:szCs w:val="21"/>
              </w:rPr>
            </w:pPr>
            <w:r>
              <w:rPr>
                <w:rFonts w:hint="eastAsia" w:ascii="宋体" w:hAnsi="宋体"/>
                <w:b/>
                <w:szCs w:val="21"/>
              </w:rPr>
              <w:t>学分</w:t>
            </w:r>
            <w:r>
              <w:rPr>
                <w:rFonts w:ascii="宋体" w:hAnsi="宋体"/>
                <w:b/>
                <w:szCs w:val="21"/>
              </w:rPr>
              <w:t>/</w:t>
            </w:r>
            <w:r>
              <w:rPr>
                <w:rFonts w:hint="eastAsia" w:ascii="宋体" w:hAnsi="宋体"/>
                <w:b/>
                <w:szCs w:val="21"/>
              </w:rPr>
              <w:t>学时</w:t>
            </w:r>
          </w:p>
        </w:tc>
        <w:tc>
          <w:tcPr>
            <w:tcW w:w="384" w:type="pct"/>
            <w:vAlign w:val="center"/>
          </w:tcPr>
          <w:p>
            <w:pPr>
              <w:snapToGrid w:val="0"/>
              <w:jc w:val="center"/>
              <w:rPr>
                <w:rFonts w:ascii="宋体"/>
                <w:b/>
                <w:szCs w:val="21"/>
              </w:rPr>
            </w:pPr>
            <w:r>
              <w:rPr>
                <w:rFonts w:hint="eastAsia" w:ascii="宋体" w:hAnsi="宋体"/>
                <w:b/>
                <w:szCs w:val="21"/>
              </w:rPr>
              <w:t>开设时间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47" w:type="pct"/>
            <w:vAlign w:val="center"/>
          </w:tcPr>
          <w:p>
            <w:pPr>
              <w:jc w:val="left"/>
              <w:rPr>
                <w:rFonts w:ascii="宋体" w:cs="宋体"/>
                <w:szCs w:val="21"/>
              </w:rPr>
            </w:pPr>
            <w:r>
              <w:rPr>
                <w:rFonts w:hint="eastAsia" w:ascii="宋体" w:hAnsi="宋体" w:cs="宋体"/>
                <w:szCs w:val="21"/>
              </w:rPr>
              <w:t>客运礼仪实训</w:t>
            </w:r>
          </w:p>
        </w:tc>
        <w:tc>
          <w:tcPr>
            <w:tcW w:w="402" w:type="pct"/>
            <w:vAlign w:val="center"/>
          </w:tcPr>
          <w:p>
            <w:pPr>
              <w:snapToGrid w:val="0"/>
              <w:rPr>
                <w:rFonts w:ascii="宋体" w:cs="宋体"/>
                <w:szCs w:val="21"/>
              </w:rPr>
            </w:pPr>
            <w:r>
              <w:rPr>
                <w:rFonts w:hint="eastAsia" w:ascii="宋体" w:hAnsi="宋体"/>
                <w:szCs w:val="21"/>
              </w:rPr>
              <w:t>必修</w:t>
            </w:r>
          </w:p>
        </w:tc>
        <w:tc>
          <w:tcPr>
            <w:tcW w:w="403" w:type="pct"/>
            <w:vAlign w:val="center"/>
          </w:tcPr>
          <w:p>
            <w:pPr>
              <w:snapToGrid w:val="0"/>
              <w:jc w:val="center"/>
              <w:rPr>
                <w:rFonts w:ascii="宋体" w:hAnsi="宋体"/>
                <w:szCs w:val="21"/>
              </w:rPr>
            </w:pPr>
            <w:r>
              <w:rPr>
                <w:rFonts w:ascii="宋体" w:hAnsi="宋体"/>
                <w:szCs w:val="21"/>
              </w:rPr>
              <w:t>1</w:t>
            </w:r>
          </w:p>
        </w:tc>
        <w:tc>
          <w:tcPr>
            <w:tcW w:w="1628" w:type="pct"/>
            <w:vAlign w:val="center"/>
          </w:tcPr>
          <w:p>
            <w:pPr>
              <w:snapToGrid w:val="0"/>
              <w:rPr>
                <w:rFonts w:ascii="宋体" w:hAnsi="宋体" w:cs="宋体"/>
                <w:szCs w:val="21"/>
              </w:rPr>
            </w:pPr>
            <w:r>
              <w:rPr>
                <w:rFonts w:hint="eastAsia" w:ascii="宋体" w:hAnsi="宋体" w:cs="宋体"/>
                <w:szCs w:val="21"/>
              </w:rPr>
              <w:t>公共场合中身体形态、言行举止的基本仪态。</w:t>
            </w:r>
          </w:p>
        </w:tc>
        <w:tc>
          <w:tcPr>
            <w:tcW w:w="512" w:type="pct"/>
            <w:vAlign w:val="center"/>
          </w:tcPr>
          <w:p>
            <w:pPr>
              <w:snapToGrid w:val="0"/>
              <w:rPr>
                <w:rFonts w:ascii="宋体" w:hAnsi="宋体" w:cs="宋体"/>
                <w:szCs w:val="21"/>
              </w:rPr>
            </w:pPr>
            <w:r>
              <w:rPr>
                <w:rFonts w:hint="eastAsia" w:ascii="宋体" w:hAnsi="宋体" w:cs="宋体"/>
                <w:szCs w:val="21"/>
              </w:rPr>
              <w:t>校内实训基地</w:t>
            </w:r>
          </w:p>
        </w:tc>
        <w:tc>
          <w:tcPr>
            <w:tcW w:w="519" w:type="pct"/>
            <w:vAlign w:val="center"/>
          </w:tcPr>
          <w:p>
            <w:pPr>
              <w:snapToGrid w:val="0"/>
              <w:jc w:val="center"/>
              <w:rPr>
                <w:rFonts w:ascii="宋体" w:hAnsi="宋体" w:cs="宋体"/>
                <w:szCs w:val="21"/>
              </w:rPr>
            </w:pPr>
            <w:r>
              <w:rPr>
                <w:rFonts w:hint="eastAsia" w:ascii="宋体" w:hAnsi="宋体" w:cs="宋体"/>
                <w:szCs w:val="21"/>
              </w:rPr>
              <w:t>实践</w:t>
            </w:r>
          </w:p>
          <w:p>
            <w:pPr>
              <w:snapToGrid w:val="0"/>
              <w:jc w:val="center"/>
              <w:rPr>
                <w:rFonts w:ascii="宋体" w:hAnsi="宋体" w:cs="宋体"/>
                <w:szCs w:val="21"/>
              </w:rPr>
            </w:pPr>
            <w:r>
              <w:rPr>
                <w:rFonts w:hint="eastAsia" w:ascii="宋体" w:hAnsi="宋体" w:cs="宋体"/>
                <w:szCs w:val="21"/>
              </w:rPr>
              <w:t>考核</w:t>
            </w:r>
          </w:p>
        </w:tc>
        <w:tc>
          <w:tcPr>
            <w:tcW w:w="500" w:type="pct"/>
            <w:vAlign w:val="center"/>
          </w:tcPr>
          <w:p>
            <w:pPr>
              <w:snapToGrid w:val="0"/>
              <w:jc w:val="center"/>
              <w:rPr>
                <w:rFonts w:ascii="宋体" w:hAnsi="宋体"/>
                <w:szCs w:val="21"/>
              </w:rPr>
            </w:pPr>
            <w:r>
              <w:rPr>
                <w:rFonts w:ascii="宋体" w:hAnsi="宋体"/>
                <w:szCs w:val="21"/>
              </w:rPr>
              <w:t>1/2</w:t>
            </w:r>
            <w:r>
              <w:rPr>
                <w:rFonts w:hint="eastAsia" w:ascii="宋体" w:hAnsi="宋体"/>
                <w:szCs w:val="21"/>
              </w:rPr>
              <w:t>5</w:t>
            </w:r>
          </w:p>
        </w:tc>
        <w:tc>
          <w:tcPr>
            <w:tcW w:w="384" w:type="pct"/>
            <w:vAlign w:val="center"/>
          </w:tcPr>
          <w:p>
            <w:pPr>
              <w:snapToGrid w:val="0"/>
              <w:jc w:val="center"/>
              <w:rPr>
                <w:rFonts w:ascii="宋体" w:hAnsi="宋体"/>
                <w:szCs w:val="21"/>
              </w:rPr>
            </w:pPr>
            <w:r>
              <w:rPr>
                <w:rFonts w:hint="eastAsia" w:ascii="宋体" w:hAnsi="宋体"/>
                <w:szCs w:val="21"/>
              </w:rPr>
              <w:t>第7学期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47" w:type="pct"/>
            <w:vAlign w:val="center"/>
          </w:tcPr>
          <w:p>
            <w:pPr>
              <w:rPr>
                <w:rFonts w:ascii="宋体" w:cs="宋体"/>
                <w:szCs w:val="21"/>
              </w:rPr>
            </w:pPr>
            <w:r>
              <w:rPr>
                <w:rFonts w:hint="eastAsia" w:ascii="宋体" w:hAnsi="宋体" w:cs="宋体"/>
                <w:szCs w:val="21"/>
              </w:rPr>
              <w:t>低压电工作业实训</w:t>
            </w:r>
          </w:p>
        </w:tc>
        <w:tc>
          <w:tcPr>
            <w:tcW w:w="402" w:type="pct"/>
            <w:vAlign w:val="center"/>
          </w:tcPr>
          <w:p>
            <w:pPr>
              <w:rPr>
                <w:rFonts w:ascii="宋体"/>
                <w:szCs w:val="21"/>
              </w:rPr>
            </w:pPr>
            <w:r>
              <w:rPr>
                <w:rFonts w:hint="eastAsia" w:ascii="宋体" w:hAnsi="宋体"/>
                <w:szCs w:val="21"/>
              </w:rPr>
              <w:t>必修</w:t>
            </w:r>
          </w:p>
        </w:tc>
        <w:tc>
          <w:tcPr>
            <w:tcW w:w="403" w:type="pct"/>
            <w:vAlign w:val="center"/>
          </w:tcPr>
          <w:p>
            <w:pPr>
              <w:snapToGrid w:val="0"/>
              <w:jc w:val="center"/>
              <w:rPr>
                <w:rFonts w:ascii="宋体" w:hAnsi="宋体"/>
                <w:szCs w:val="21"/>
              </w:rPr>
            </w:pPr>
            <w:r>
              <w:rPr>
                <w:rFonts w:ascii="宋体" w:hAnsi="宋体"/>
                <w:szCs w:val="21"/>
              </w:rPr>
              <w:t>2</w:t>
            </w:r>
          </w:p>
        </w:tc>
        <w:tc>
          <w:tcPr>
            <w:tcW w:w="1628" w:type="pct"/>
            <w:vAlign w:val="center"/>
          </w:tcPr>
          <w:p>
            <w:pPr>
              <w:snapToGrid w:val="0"/>
              <w:rPr>
                <w:rFonts w:ascii="宋体" w:hAnsi="宋体"/>
                <w:szCs w:val="21"/>
              </w:rPr>
            </w:pPr>
            <w:r>
              <w:rPr>
                <w:rFonts w:hint="eastAsia" w:ascii="宋体" w:hAnsi="宋体"/>
                <w:kern w:val="0"/>
                <w:szCs w:val="21"/>
              </w:rPr>
              <w:t>学习相关电工安全操作以及相关理论知识，能考取低压电工作业上岗证书。</w:t>
            </w:r>
          </w:p>
        </w:tc>
        <w:tc>
          <w:tcPr>
            <w:tcW w:w="512" w:type="pct"/>
            <w:vAlign w:val="center"/>
          </w:tcPr>
          <w:p>
            <w:pPr>
              <w:snapToGrid w:val="0"/>
              <w:rPr>
                <w:rFonts w:ascii="宋体" w:hAnsi="宋体"/>
                <w:szCs w:val="21"/>
              </w:rPr>
            </w:pPr>
            <w:r>
              <w:rPr>
                <w:rFonts w:hint="eastAsia" w:ascii="宋体" w:hAnsi="宋体"/>
                <w:szCs w:val="21"/>
              </w:rPr>
              <w:t>校内实训基地</w:t>
            </w:r>
          </w:p>
        </w:tc>
        <w:tc>
          <w:tcPr>
            <w:tcW w:w="519" w:type="pct"/>
            <w:vAlign w:val="center"/>
          </w:tcPr>
          <w:p>
            <w:pPr>
              <w:snapToGrid w:val="0"/>
              <w:jc w:val="center"/>
              <w:rPr>
                <w:rFonts w:ascii="宋体" w:hAnsi="宋体"/>
                <w:szCs w:val="21"/>
              </w:rPr>
            </w:pPr>
            <w:r>
              <w:rPr>
                <w:rFonts w:hint="eastAsia" w:ascii="宋体" w:hAnsi="宋体"/>
                <w:szCs w:val="21"/>
              </w:rPr>
              <w:t>实践</w:t>
            </w:r>
          </w:p>
          <w:p>
            <w:pPr>
              <w:snapToGrid w:val="0"/>
              <w:jc w:val="center"/>
              <w:rPr>
                <w:rFonts w:ascii="宋体" w:hAnsi="宋体"/>
                <w:szCs w:val="21"/>
              </w:rPr>
            </w:pPr>
            <w:r>
              <w:rPr>
                <w:rFonts w:hint="eastAsia" w:ascii="宋体" w:hAnsi="宋体"/>
                <w:szCs w:val="21"/>
              </w:rPr>
              <w:t>考核</w:t>
            </w:r>
          </w:p>
        </w:tc>
        <w:tc>
          <w:tcPr>
            <w:tcW w:w="500" w:type="pct"/>
            <w:vAlign w:val="center"/>
          </w:tcPr>
          <w:p>
            <w:pPr>
              <w:snapToGrid w:val="0"/>
              <w:jc w:val="center"/>
              <w:rPr>
                <w:rFonts w:ascii="宋体" w:hAnsi="宋体"/>
                <w:szCs w:val="21"/>
              </w:rPr>
            </w:pPr>
            <w:r>
              <w:rPr>
                <w:rFonts w:ascii="宋体" w:hAnsi="宋体"/>
                <w:szCs w:val="21"/>
              </w:rPr>
              <w:t>2/</w:t>
            </w:r>
            <w:r>
              <w:rPr>
                <w:rFonts w:hint="eastAsia" w:ascii="宋体" w:hAnsi="宋体"/>
                <w:szCs w:val="21"/>
              </w:rPr>
              <w:t>40</w:t>
            </w:r>
          </w:p>
        </w:tc>
        <w:tc>
          <w:tcPr>
            <w:tcW w:w="384" w:type="pct"/>
            <w:vAlign w:val="center"/>
          </w:tcPr>
          <w:p>
            <w:pPr>
              <w:snapToGrid w:val="0"/>
              <w:jc w:val="center"/>
              <w:rPr>
                <w:rFonts w:ascii="宋体" w:hAnsi="宋体"/>
                <w:szCs w:val="21"/>
              </w:rPr>
            </w:pPr>
            <w:r>
              <w:rPr>
                <w:rFonts w:hint="eastAsia" w:ascii="宋体" w:hAnsi="宋体"/>
                <w:szCs w:val="21"/>
              </w:rPr>
              <w:t>第7学期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647" w:type="pct"/>
            <w:vAlign w:val="center"/>
          </w:tcPr>
          <w:p>
            <w:pPr>
              <w:rPr>
                <w:rFonts w:ascii="宋体" w:cs="宋体"/>
                <w:szCs w:val="21"/>
              </w:rPr>
            </w:pPr>
            <w:r>
              <w:rPr>
                <w:rFonts w:hint="eastAsia" w:ascii="宋体" w:hAnsi="宋体" w:cs="宋体"/>
                <w:szCs w:val="21"/>
              </w:rPr>
              <w:t>城市轨道交通站务实训</w:t>
            </w:r>
          </w:p>
        </w:tc>
        <w:tc>
          <w:tcPr>
            <w:tcW w:w="402" w:type="pct"/>
            <w:vAlign w:val="center"/>
          </w:tcPr>
          <w:p>
            <w:r>
              <w:rPr>
                <w:rFonts w:hint="eastAsia" w:ascii="宋体" w:hAnsi="宋体"/>
                <w:szCs w:val="21"/>
              </w:rPr>
              <w:t>必修</w:t>
            </w:r>
          </w:p>
        </w:tc>
        <w:tc>
          <w:tcPr>
            <w:tcW w:w="403" w:type="pct"/>
            <w:vAlign w:val="center"/>
          </w:tcPr>
          <w:p>
            <w:pPr>
              <w:snapToGrid w:val="0"/>
              <w:jc w:val="center"/>
              <w:rPr>
                <w:rFonts w:ascii="宋体" w:hAnsi="宋体"/>
                <w:szCs w:val="21"/>
              </w:rPr>
            </w:pPr>
            <w:r>
              <w:rPr>
                <w:rFonts w:ascii="宋体" w:hAnsi="宋体"/>
                <w:szCs w:val="21"/>
              </w:rPr>
              <w:t>1</w:t>
            </w:r>
          </w:p>
        </w:tc>
        <w:tc>
          <w:tcPr>
            <w:tcW w:w="1628" w:type="pct"/>
            <w:vAlign w:val="center"/>
          </w:tcPr>
          <w:p>
            <w:pPr>
              <w:jc w:val="left"/>
              <w:rPr>
                <w:rFonts w:ascii="宋体" w:hAnsi="宋体"/>
                <w:szCs w:val="21"/>
              </w:rPr>
            </w:pPr>
            <w:r>
              <w:rPr>
                <w:rFonts w:hint="eastAsia" w:ascii="宋体" w:hAnsi="宋体" w:cs="宋体"/>
                <w:szCs w:val="21"/>
              </w:rPr>
              <w:t>了解站务工作的主要内容，熟悉站务员的主要职责。</w:t>
            </w:r>
          </w:p>
        </w:tc>
        <w:tc>
          <w:tcPr>
            <w:tcW w:w="512" w:type="pct"/>
            <w:vAlign w:val="center"/>
          </w:tcPr>
          <w:p>
            <w:pPr>
              <w:snapToGrid w:val="0"/>
              <w:rPr>
                <w:rFonts w:ascii="宋体" w:hAnsi="宋体"/>
                <w:szCs w:val="21"/>
              </w:rPr>
            </w:pPr>
            <w:r>
              <w:rPr>
                <w:rFonts w:hint="eastAsia" w:ascii="宋体" w:hAnsi="宋体"/>
                <w:szCs w:val="21"/>
              </w:rPr>
              <w:t>校内或校外实训基地</w:t>
            </w:r>
          </w:p>
        </w:tc>
        <w:tc>
          <w:tcPr>
            <w:tcW w:w="519" w:type="pct"/>
            <w:vAlign w:val="center"/>
          </w:tcPr>
          <w:p>
            <w:pPr>
              <w:snapToGrid w:val="0"/>
              <w:jc w:val="center"/>
              <w:rPr>
                <w:rFonts w:ascii="宋体" w:hAnsi="宋体"/>
                <w:szCs w:val="21"/>
              </w:rPr>
            </w:pPr>
            <w:r>
              <w:rPr>
                <w:rFonts w:hint="eastAsia" w:ascii="宋体" w:hAnsi="宋体"/>
                <w:szCs w:val="21"/>
              </w:rPr>
              <w:t>实践</w:t>
            </w:r>
          </w:p>
          <w:p>
            <w:pPr>
              <w:snapToGrid w:val="0"/>
              <w:jc w:val="center"/>
              <w:rPr>
                <w:rFonts w:ascii="宋体" w:hAnsi="宋体"/>
                <w:szCs w:val="21"/>
              </w:rPr>
            </w:pPr>
            <w:r>
              <w:rPr>
                <w:rFonts w:hint="eastAsia" w:ascii="宋体" w:hAnsi="宋体"/>
                <w:szCs w:val="21"/>
              </w:rPr>
              <w:t>考核</w:t>
            </w:r>
          </w:p>
        </w:tc>
        <w:tc>
          <w:tcPr>
            <w:tcW w:w="500" w:type="pct"/>
            <w:vAlign w:val="center"/>
          </w:tcPr>
          <w:p>
            <w:pPr>
              <w:snapToGrid w:val="0"/>
              <w:jc w:val="center"/>
              <w:rPr>
                <w:rFonts w:ascii="宋体" w:hAnsi="宋体"/>
                <w:szCs w:val="21"/>
              </w:rPr>
            </w:pPr>
            <w:r>
              <w:rPr>
                <w:rFonts w:ascii="宋体" w:hAnsi="宋体"/>
                <w:szCs w:val="21"/>
              </w:rPr>
              <w:t>1/2</w:t>
            </w:r>
            <w:r>
              <w:rPr>
                <w:rFonts w:hint="eastAsia" w:ascii="宋体" w:hAnsi="宋体"/>
                <w:szCs w:val="21"/>
              </w:rPr>
              <w:t>5</w:t>
            </w:r>
          </w:p>
        </w:tc>
        <w:tc>
          <w:tcPr>
            <w:tcW w:w="384" w:type="pct"/>
            <w:vAlign w:val="center"/>
          </w:tcPr>
          <w:p>
            <w:pPr>
              <w:snapToGrid w:val="0"/>
              <w:jc w:val="center"/>
              <w:rPr>
                <w:rFonts w:ascii="宋体" w:hAnsi="宋体"/>
                <w:szCs w:val="21"/>
              </w:rPr>
            </w:pPr>
            <w:r>
              <w:rPr>
                <w:rFonts w:hint="eastAsia" w:ascii="宋体" w:hAnsi="宋体"/>
                <w:szCs w:val="21"/>
              </w:rPr>
              <w:t>第8学期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jc w:val="center"/>
        </w:trPr>
        <w:tc>
          <w:tcPr>
            <w:tcW w:w="647" w:type="pct"/>
            <w:vAlign w:val="center"/>
          </w:tcPr>
          <w:p>
            <w:pPr>
              <w:rPr>
                <w:rFonts w:ascii="宋体" w:hAnsi="宋体"/>
                <w:szCs w:val="21"/>
              </w:rPr>
            </w:pPr>
            <w:r>
              <w:rPr>
                <w:rFonts w:hint="eastAsia" w:ascii="宋体" w:hAnsi="宋体" w:cs="宋体"/>
                <w:szCs w:val="21"/>
              </w:rPr>
              <w:t>城市轨道交通信号设备维检修实训</w:t>
            </w:r>
          </w:p>
        </w:tc>
        <w:tc>
          <w:tcPr>
            <w:tcW w:w="402" w:type="pct"/>
            <w:vAlign w:val="center"/>
          </w:tcPr>
          <w:p>
            <w:pPr>
              <w:rPr>
                <w:rFonts w:ascii="宋体" w:hAnsi="宋体"/>
                <w:szCs w:val="21"/>
              </w:rPr>
            </w:pPr>
            <w:r>
              <w:rPr>
                <w:rFonts w:hint="eastAsia" w:ascii="宋体" w:hAnsi="宋体"/>
                <w:szCs w:val="21"/>
              </w:rPr>
              <w:t>必修</w:t>
            </w:r>
          </w:p>
        </w:tc>
        <w:tc>
          <w:tcPr>
            <w:tcW w:w="403" w:type="pct"/>
            <w:vAlign w:val="center"/>
          </w:tcPr>
          <w:p>
            <w:pPr>
              <w:snapToGrid w:val="0"/>
              <w:jc w:val="center"/>
              <w:rPr>
                <w:rFonts w:ascii="宋体" w:hAnsi="宋体"/>
                <w:szCs w:val="21"/>
              </w:rPr>
            </w:pPr>
            <w:r>
              <w:rPr>
                <w:rFonts w:hint="eastAsia" w:ascii="宋体" w:hAnsi="宋体"/>
                <w:szCs w:val="21"/>
              </w:rPr>
              <w:t>1</w:t>
            </w:r>
          </w:p>
        </w:tc>
        <w:tc>
          <w:tcPr>
            <w:tcW w:w="1628" w:type="pct"/>
            <w:vAlign w:val="center"/>
          </w:tcPr>
          <w:p>
            <w:pPr>
              <w:jc w:val="left"/>
              <w:rPr>
                <w:rFonts w:ascii="宋体" w:hAnsi="宋体" w:cs="宋体"/>
                <w:szCs w:val="21"/>
              </w:rPr>
            </w:pPr>
            <w:r>
              <w:rPr>
                <w:rFonts w:hint="eastAsia" w:ascii="宋体" w:hAnsi="宋体" w:cs="宋体"/>
                <w:szCs w:val="21"/>
              </w:rPr>
              <w:t>使学生对信号继电器、铁路信号、轨道电路、转辙机、防雷和接地装置、信号控制设备功能、原理等有一定认识了解，学习“联锁”、“闭塞”概念和原理，提高学生城市轨道交通信号设备维检修能力。</w:t>
            </w:r>
          </w:p>
        </w:tc>
        <w:tc>
          <w:tcPr>
            <w:tcW w:w="512" w:type="pct"/>
            <w:vAlign w:val="center"/>
          </w:tcPr>
          <w:p>
            <w:pPr>
              <w:snapToGrid w:val="0"/>
              <w:rPr>
                <w:rFonts w:ascii="宋体" w:hAnsi="宋体" w:cs="宋体"/>
                <w:szCs w:val="21"/>
              </w:rPr>
            </w:pPr>
            <w:r>
              <w:rPr>
                <w:rFonts w:hint="eastAsia" w:ascii="宋体" w:hAnsi="宋体" w:cs="宋体"/>
                <w:szCs w:val="21"/>
              </w:rPr>
              <w:t>校内实训基地</w:t>
            </w:r>
          </w:p>
        </w:tc>
        <w:tc>
          <w:tcPr>
            <w:tcW w:w="519" w:type="pct"/>
            <w:vAlign w:val="center"/>
          </w:tcPr>
          <w:p>
            <w:pPr>
              <w:snapToGrid w:val="0"/>
              <w:jc w:val="center"/>
              <w:rPr>
                <w:rFonts w:ascii="宋体" w:hAnsi="宋体" w:cs="宋体"/>
                <w:szCs w:val="21"/>
              </w:rPr>
            </w:pPr>
            <w:r>
              <w:rPr>
                <w:rFonts w:hint="eastAsia" w:ascii="宋体" w:hAnsi="宋体" w:cs="宋体"/>
                <w:szCs w:val="21"/>
              </w:rPr>
              <w:t>实践</w:t>
            </w:r>
          </w:p>
          <w:p>
            <w:pPr>
              <w:jc w:val="center"/>
              <w:rPr>
                <w:rFonts w:ascii="宋体" w:hAnsi="宋体" w:cs="宋体"/>
                <w:szCs w:val="21"/>
              </w:rPr>
            </w:pPr>
            <w:r>
              <w:rPr>
                <w:rFonts w:hint="eastAsia" w:ascii="宋体" w:hAnsi="宋体" w:cs="宋体"/>
                <w:szCs w:val="21"/>
              </w:rPr>
              <w:t>考核</w:t>
            </w:r>
          </w:p>
        </w:tc>
        <w:tc>
          <w:tcPr>
            <w:tcW w:w="500" w:type="pct"/>
            <w:vAlign w:val="center"/>
          </w:tcPr>
          <w:p>
            <w:pPr>
              <w:snapToGrid w:val="0"/>
              <w:jc w:val="center"/>
              <w:rPr>
                <w:rFonts w:ascii="宋体" w:hAnsi="宋体" w:cs="宋体"/>
                <w:szCs w:val="21"/>
              </w:rPr>
            </w:pPr>
            <w:r>
              <w:rPr>
                <w:rFonts w:ascii="宋体" w:hAnsi="宋体" w:cs="宋体"/>
                <w:szCs w:val="21"/>
              </w:rPr>
              <w:t>1/2</w:t>
            </w:r>
            <w:r>
              <w:rPr>
                <w:rFonts w:hint="eastAsia" w:ascii="宋体" w:hAnsi="宋体" w:cs="宋体"/>
                <w:szCs w:val="21"/>
              </w:rPr>
              <w:t>5</w:t>
            </w:r>
          </w:p>
        </w:tc>
        <w:tc>
          <w:tcPr>
            <w:tcW w:w="384" w:type="pct"/>
            <w:vAlign w:val="center"/>
          </w:tcPr>
          <w:p>
            <w:pPr>
              <w:snapToGrid w:val="0"/>
              <w:jc w:val="center"/>
              <w:rPr>
                <w:rFonts w:ascii="宋体" w:hAnsi="宋体" w:cs="宋体"/>
                <w:szCs w:val="21"/>
              </w:rPr>
            </w:pPr>
            <w:r>
              <w:rPr>
                <w:rFonts w:hint="eastAsia" w:ascii="宋体" w:hAnsi="宋体" w:cs="宋体"/>
                <w:szCs w:val="21"/>
              </w:rPr>
              <w:t>第8学期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jc w:val="center"/>
        </w:trPr>
        <w:tc>
          <w:tcPr>
            <w:tcW w:w="647" w:type="pct"/>
            <w:vAlign w:val="center"/>
          </w:tcPr>
          <w:p>
            <w:pPr>
              <w:rPr>
                <w:rFonts w:ascii="宋体" w:hAnsi="宋体" w:cs="宋体"/>
                <w:szCs w:val="21"/>
              </w:rPr>
            </w:pPr>
            <w:r>
              <w:rPr>
                <w:rFonts w:hint="eastAsia" w:ascii="宋体" w:hAnsi="宋体" w:cs="宋体"/>
                <w:szCs w:val="21"/>
              </w:rPr>
              <w:t>城市轨道交通综合实训</w:t>
            </w:r>
          </w:p>
        </w:tc>
        <w:tc>
          <w:tcPr>
            <w:tcW w:w="402" w:type="pct"/>
            <w:vAlign w:val="center"/>
          </w:tcPr>
          <w:p>
            <w:r>
              <w:rPr>
                <w:rFonts w:hint="eastAsia" w:ascii="宋体" w:hAnsi="宋体"/>
                <w:szCs w:val="21"/>
              </w:rPr>
              <w:t>必修</w:t>
            </w:r>
          </w:p>
        </w:tc>
        <w:tc>
          <w:tcPr>
            <w:tcW w:w="403" w:type="pct"/>
            <w:vAlign w:val="center"/>
          </w:tcPr>
          <w:p>
            <w:pPr>
              <w:snapToGrid w:val="0"/>
              <w:jc w:val="center"/>
              <w:rPr>
                <w:rFonts w:ascii="宋体" w:hAnsi="宋体"/>
                <w:szCs w:val="21"/>
              </w:rPr>
            </w:pPr>
            <w:r>
              <w:rPr>
                <w:rFonts w:ascii="宋体" w:hAnsi="宋体"/>
                <w:szCs w:val="21"/>
              </w:rPr>
              <w:t>1</w:t>
            </w:r>
          </w:p>
        </w:tc>
        <w:tc>
          <w:tcPr>
            <w:tcW w:w="1628" w:type="pct"/>
            <w:vAlign w:val="center"/>
          </w:tcPr>
          <w:p>
            <w:pPr>
              <w:jc w:val="left"/>
              <w:rPr>
                <w:rFonts w:ascii="宋体" w:hAnsi="宋体" w:cs="宋体"/>
                <w:szCs w:val="21"/>
              </w:rPr>
            </w:pPr>
            <w:r>
              <w:rPr>
                <w:rFonts w:hint="eastAsia" w:ascii="宋体" w:hAnsi="宋体" w:cs="宋体"/>
                <w:szCs w:val="21"/>
              </w:rPr>
              <w:t>通过学习车站控制室综合后备盘（IBP）及综合监控（ISCS）系统、自动售检票系统票务处理、屏蔽门系统、电梯系统、模拟驾驶、信号设备维检修及配套仿真软件系统的组合形式，提高实际动手能力、故障处理能力以及突发事件应对能力，增强城轨运营的安全意识，提高职业素养。</w:t>
            </w:r>
          </w:p>
        </w:tc>
        <w:tc>
          <w:tcPr>
            <w:tcW w:w="512" w:type="pct"/>
            <w:vAlign w:val="center"/>
          </w:tcPr>
          <w:p>
            <w:pPr>
              <w:snapToGrid w:val="0"/>
              <w:rPr>
                <w:rFonts w:ascii="宋体" w:hAnsi="宋体"/>
                <w:szCs w:val="21"/>
              </w:rPr>
            </w:pPr>
            <w:r>
              <w:rPr>
                <w:rFonts w:hint="eastAsia" w:ascii="宋体" w:hAnsi="宋体"/>
                <w:szCs w:val="21"/>
              </w:rPr>
              <w:t>校内或校外实训基地</w:t>
            </w:r>
          </w:p>
        </w:tc>
        <w:tc>
          <w:tcPr>
            <w:tcW w:w="519" w:type="pct"/>
            <w:vAlign w:val="center"/>
          </w:tcPr>
          <w:p>
            <w:pPr>
              <w:snapToGrid w:val="0"/>
              <w:jc w:val="center"/>
              <w:rPr>
                <w:rFonts w:ascii="宋体" w:hAnsi="宋体"/>
                <w:szCs w:val="21"/>
              </w:rPr>
            </w:pPr>
            <w:r>
              <w:rPr>
                <w:rFonts w:hint="eastAsia" w:ascii="宋体" w:hAnsi="宋体"/>
                <w:szCs w:val="21"/>
              </w:rPr>
              <w:t>实践</w:t>
            </w:r>
          </w:p>
          <w:p>
            <w:pPr>
              <w:snapToGrid w:val="0"/>
              <w:jc w:val="center"/>
              <w:rPr>
                <w:rFonts w:ascii="宋体" w:hAnsi="宋体"/>
                <w:szCs w:val="21"/>
              </w:rPr>
            </w:pPr>
            <w:r>
              <w:rPr>
                <w:rFonts w:hint="eastAsia" w:ascii="宋体" w:hAnsi="宋体"/>
                <w:szCs w:val="21"/>
              </w:rPr>
              <w:t>考核</w:t>
            </w:r>
          </w:p>
        </w:tc>
        <w:tc>
          <w:tcPr>
            <w:tcW w:w="500" w:type="pct"/>
            <w:vAlign w:val="center"/>
          </w:tcPr>
          <w:p>
            <w:pPr>
              <w:snapToGrid w:val="0"/>
              <w:jc w:val="center"/>
              <w:rPr>
                <w:rFonts w:ascii="宋体" w:hAnsi="宋体"/>
                <w:szCs w:val="21"/>
              </w:rPr>
            </w:pPr>
            <w:r>
              <w:rPr>
                <w:rFonts w:ascii="宋体" w:hAnsi="宋体"/>
                <w:szCs w:val="21"/>
              </w:rPr>
              <w:t>1/2</w:t>
            </w:r>
            <w:r>
              <w:rPr>
                <w:rFonts w:hint="eastAsia" w:ascii="宋体" w:hAnsi="宋体"/>
                <w:szCs w:val="21"/>
              </w:rPr>
              <w:t>5</w:t>
            </w:r>
          </w:p>
        </w:tc>
        <w:tc>
          <w:tcPr>
            <w:tcW w:w="384" w:type="pct"/>
            <w:vAlign w:val="center"/>
          </w:tcPr>
          <w:p>
            <w:pPr>
              <w:snapToGrid w:val="0"/>
              <w:jc w:val="center"/>
              <w:rPr>
                <w:rFonts w:ascii="宋体" w:hAnsi="宋体"/>
                <w:szCs w:val="21"/>
              </w:rPr>
            </w:pPr>
            <w:r>
              <w:rPr>
                <w:rFonts w:hint="eastAsia" w:ascii="宋体" w:hAnsi="宋体"/>
                <w:szCs w:val="21"/>
              </w:rPr>
              <w:t>第8学期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647" w:type="pct"/>
            <w:vAlign w:val="center"/>
          </w:tcPr>
          <w:p>
            <w:pPr>
              <w:snapToGrid w:val="0"/>
              <w:jc w:val="center"/>
              <w:rPr>
                <w:rFonts w:ascii="宋体" w:hAnsi="宋体" w:cs="宋体"/>
                <w:szCs w:val="21"/>
              </w:rPr>
            </w:pPr>
            <w:r>
              <w:rPr>
                <w:rFonts w:hint="eastAsia" w:ascii="宋体" w:hAnsi="宋体" w:cs="宋体"/>
                <w:szCs w:val="21"/>
              </w:rPr>
              <w:t>社会实践活动</w:t>
            </w:r>
          </w:p>
        </w:tc>
        <w:tc>
          <w:tcPr>
            <w:tcW w:w="402" w:type="pct"/>
            <w:vAlign w:val="center"/>
          </w:tcPr>
          <w:p>
            <w:pPr>
              <w:snapToGrid w:val="0"/>
              <w:rPr>
                <w:rFonts w:ascii="宋体" w:hAnsi="宋体" w:cs="宋体"/>
                <w:szCs w:val="21"/>
              </w:rPr>
            </w:pPr>
            <w:r>
              <w:rPr>
                <w:rFonts w:hint="eastAsia" w:ascii="宋体" w:hAnsi="宋体" w:cs="宋体"/>
                <w:szCs w:val="21"/>
              </w:rPr>
              <w:t>限选</w:t>
            </w:r>
          </w:p>
        </w:tc>
        <w:tc>
          <w:tcPr>
            <w:tcW w:w="403" w:type="pct"/>
            <w:vAlign w:val="center"/>
          </w:tcPr>
          <w:p>
            <w:pPr>
              <w:snapToGrid w:val="0"/>
              <w:jc w:val="center"/>
              <w:rPr>
                <w:rFonts w:ascii="宋体" w:hAnsi="宋体" w:cs="宋体"/>
                <w:szCs w:val="21"/>
              </w:rPr>
            </w:pPr>
            <w:r>
              <w:rPr>
                <w:rFonts w:hint="eastAsia" w:ascii="宋体" w:hAnsi="宋体" w:cs="宋体"/>
                <w:szCs w:val="21"/>
              </w:rPr>
              <w:t>2</w:t>
            </w:r>
          </w:p>
        </w:tc>
        <w:tc>
          <w:tcPr>
            <w:tcW w:w="1628" w:type="pct"/>
            <w:vAlign w:val="center"/>
          </w:tcPr>
          <w:p>
            <w:pPr>
              <w:snapToGrid w:val="0"/>
              <w:rPr>
                <w:rFonts w:ascii="宋体" w:hAnsi="宋体" w:cs="宋体"/>
                <w:szCs w:val="21"/>
              </w:rPr>
            </w:pPr>
            <w:r>
              <w:rPr>
                <w:rFonts w:hint="eastAsia" w:ascii="宋体" w:hAnsi="宋体" w:cs="宋体"/>
                <w:szCs w:val="21"/>
              </w:rPr>
              <w:t>将理论知识、个人素养应用到社会实践活动中，通过该活动，能拓展视野，丰富自我，提高技能，了解社会，激发学生的创新精神，提高个人能力，有利于培养学生的组织协调能力，提高学生的综合素质，完善学生的个性品质。</w:t>
            </w:r>
          </w:p>
        </w:tc>
        <w:tc>
          <w:tcPr>
            <w:tcW w:w="512" w:type="pct"/>
            <w:vAlign w:val="center"/>
          </w:tcPr>
          <w:p>
            <w:pPr>
              <w:snapToGrid w:val="0"/>
              <w:rPr>
                <w:rFonts w:ascii="宋体" w:hAnsi="宋体" w:cs="宋体"/>
                <w:szCs w:val="21"/>
              </w:rPr>
            </w:pPr>
            <w:r>
              <w:rPr>
                <w:rFonts w:hint="eastAsia" w:ascii="宋体" w:hAnsi="宋体" w:cs="宋体"/>
                <w:szCs w:val="21"/>
              </w:rPr>
              <w:t>校外</w:t>
            </w:r>
          </w:p>
        </w:tc>
        <w:tc>
          <w:tcPr>
            <w:tcW w:w="519" w:type="pct"/>
            <w:vAlign w:val="center"/>
          </w:tcPr>
          <w:p>
            <w:pPr>
              <w:snapToGrid w:val="0"/>
              <w:rPr>
                <w:rFonts w:ascii="宋体" w:hAnsi="宋体" w:cs="宋体"/>
                <w:szCs w:val="21"/>
              </w:rPr>
            </w:pPr>
            <w:r>
              <w:rPr>
                <w:rFonts w:hint="eastAsia" w:ascii="宋体" w:hAnsi="宋体" w:cs="宋体"/>
                <w:szCs w:val="21"/>
              </w:rPr>
              <w:t>撰写实践</w:t>
            </w:r>
            <w:r>
              <w:rPr>
                <w:rFonts w:ascii="宋体" w:hAnsi="宋体" w:cs="宋体"/>
                <w:szCs w:val="21"/>
              </w:rPr>
              <w:t>/调研报告</w:t>
            </w:r>
          </w:p>
        </w:tc>
        <w:tc>
          <w:tcPr>
            <w:tcW w:w="500" w:type="pct"/>
            <w:vAlign w:val="center"/>
          </w:tcPr>
          <w:p>
            <w:pPr>
              <w:snapToGrid w:val="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100</w:t>
            </w:r>
          </w:p>
        </w:tc>
        <w:tc>
          <w:tcPr>
            <w:tcW w:w="384" w:type="pct"/>
            <w:vAlign w:val="center"/>
          </w:tcPr>
          <w:p>
            <w:pPr>
              <w:snapToGrid w:val="0"/>
              <w:rPr>
                <w:rFonts w:ascii="宋体" w:hAnsi="宋体" w:cs="宋体"/>
                <w:szCs w:val="21"/>
              </w:rPr>
            </w:pPr>
            <w:r>
              <w:rPr>
                <w:rFonts w:hint="eastAsia" w:ascii="宋体" w:hAnsi="宋体" w:cs="宋体"/>
                <w:szCs w:val="21"/>
              </w:rPr>
              <w:t>寒、暑假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647" w:type="pct"/>
            <w:vAlign w:val="center"/>
          </w:tcPr>
          <w:p>
            <w:pPr>
              <w:jc w:val="center"/>
              <w:rPr>
                <w:rFonts w:ascii="宋体" w:cs="宋体"/>
                <w:szCs w:val="21"/>
              </w:rPr>
            </w:pPr>
            <w:r>
              <w:rPr>
                <w:rFonts w:hint="eastAsia" w:ascii="宋体" w:hAnsi="宋体" w:cs="宋体"/>
                <w:szCs w:val="21"/>
              </w:rPr>
              <w:t>职业体验实训</w:t>
            </w:r>
          </w:p>
        </w:tc>
        <w:tc>
          <w:tcPr>
            <w:tcW w:w="402" w:type="pct"/>
            <w:vAlign w:val="center"/>
          </w:tcPr>
          <w:p>
            <w:pPr>
              <w:snapToGrid w:val="0"/>
              <w:rPr>
                <w:rFonts w:ascii="宋体"/>
                <w:szCs w:val="21"/>
              </w:rPr>
            </w:pPr>
            <w:r>
              <w:rPr>
                <w:rFonts w:hint="eastAsia" w:ascii="宋体" w:hAnsi="宋体" w:cs="宋体"/>
                <w:szCs w:val="21"/>
              </w:rPr>
              <w:t>限选</w:t>
            </w:r>
          </w:p>
        </w:tc>
        <w:tc>
          <w:tcPr>
            <w:tcW w:w="403" w:type="pct"/>
            <w:vAlign w:val="center"/>
          </w:tcPr>
          <w:p>
            <w:pPr>
              <w:snapToGrid w:val="0"/>
              <w:jc w:val="center"/>
              <w:rPr>
                <w:rFonts w:ascii="宋体" w:hAnsi="宋体"/>
                <w:szCs w:val="21"/>
              </w:rPr>
            </w:pPr>
            <w:r>
              <w:rPr>
                <w:rFonts w:ascii="宋体" w:hAnsi="宋体"/>
                <w:szCs w:val="21"/>
              </w:rPr>
              <w:t>4</w:t>
            </w:r>
          </w:p>
        </w:tc>
        <w:tc>
          <w:tcPr>
            <w:tcW w:w="1628" w:type="pct"/>
            <w:vAlign w:val="center"/>
          </w:tcPr>
          <w:p>
            <w:pPr>
              <w:snapToGrid w:val="0"/>
              <w:rPr>
                <w:rFonts w:ascii="宋体" w:hAnsi="宋体"/>
                <w:szCs w:val="21"/>
              </w:rPr>
            </w:pPr>
            <w:r>
              <w:rPr>
                <w:rFonts w:hint="eastAsia" w:ascii="宋体" w:hAnsi="宋体"/>
                <w:szCs w:val="21"/>
              </w:rPr>
              <w:t>职业氛围体验与职业发展规划，要求学生具备团队协作的能力，须完成至少一个课程模块（含</w:t>
            </w:r>
            <w:r>
              <w:rPr>
                <w:rFonts w:ascii="宋体" w:hAnsi="宋体"/>
                <w:szCs w:val="21"/>
              </w:rPr>
              <w:t>3-5门职业体验实训课程）的学习。</w:t>
            </w:r>
          </w:p>
        </w:tc>
        <w:tc>
          <w:tcPr>
            <w:tcW w:w="512" w:type="pct"/>
            <w:vAlign w:val="center"/>
          </w:tcPr>
          <w:p>
            <w:pPr>
              <w:snapToGrid w:val="0"/>
              <w:rPr>
                <w:rFonts w:ascii="宋体" w:hAnsi="宋体"/>
                <w:szCs w:val="21"/>
              </w:rPr>
            </w:pPr>
            <w:r>
              <w:rPr>
                <w:rFonts w:hint="eastAsia" w:ascii="宋体" w:hAnsi="宋体"/>
                <w:spacing w:val="-20"/>
                <w:szCs w:val="21"/>
              </w:rPr>
              <w:t>职体中心</w:t>
            </w:r>
          </w:p>
        </w:tc>
        <w:tc>
          <w:tcPr>
            <w:tcW w:w="519" w:type="pct"/>
            <w:vAlign w:val="center"/>
          </w:tcPr>
          <w:p>
            <w:pPr>
              <w:snapToGrid w:val="0"/>
              <w:jc w:val="center"/>
              <w:rPr>
                <w:rFonts w:ascii="宋体" w:hAnsi="宋体"/>
                <w:szCs w:val="21"/>
              </w:rPr>
            </w:pPr>
            <w:r>
              <w:rPr>
                <w:rFonts w:hint="eastAsia" w:ascii="宋体" w:hAnsi="宋体"/>
                <w:szCs w:val="21"/>
              </w:rPr>
              <w:t>大作业</w:t>
            </w:r>
          </w:p>
        </w:tc>
        <w:tc>
          <w:tcPr>
            <w:tcW w:w="500" w:type="pct"/>
            <w:vAlign w:val="center"/>
          </w:tcPr>
          <w:p>
            <w:pPr>
              <w:snapToGrid w:val="0"/>
              <w:jc w:val="center"/>
              <w:rPr>
                <w:rFonts w:ascii="宋体" w:hAnsi="宋体"/>
                <w:szCs w:val="21"/>
              </w:rPr>
            </w:pPr>
            <w:r>
              <w:rPr>
                <w:rFonts w:ascii="宋体" w:hAnsi="宋体"/>
                <w:szCs w:val="21"/>
              </w:rPr>
              <w:t>4/1</w:t>
            </w:r>
            <w:r>
              <w:rPr>
                <w:rFonts w:hint="eastAsia" w:ascii="宋体" w:hAnsi="宋体"/>
                <w:szCs w:val="21"/>
              </w:rPr>
              <w:t>0</w:t>
            </w:r>
            <w:r>
              <w:rPr>
                <w:rFonts w:ascii="宋体" w:hAnsi="宋体"/>
                <w:szCs w:val="21"/>
              </w:rPr>
              <w:t>0</w:t>
            </w:r>
          </w:p>
        </w:tc>
        <w:tc>
          <w:tcPr>
            <w:tcW w:w="384" w:type="pct"/>
            <w:vAlign w:val="center"/>
          </w:tcPr>
          <w:p>
            <w:pPr>
              <w:snapToGrid w:val="0"/>
              <w:jc w:val="center"/>
              <w:rPr>
                <w:rFonts w:ascii="宋体" w:hAnsi="宋体"/>
                <w:szCs w:val="21"/>
              </w:rPr>
            </w:pPr>
            <w:r>
              <w:rPr>
                <w:rFonts w:hint="eastAsia" w:ascii="宋体" w:hAnsi="宋体"/>
                <w:szCs w:val="21"/>
              </w:rPr>
              <w:t>第7-8学期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647" w:type="pct"/>
            <w:vAlign w:val="center"/>
          </w:tcPr>
          <w:p>
            <w:pPr>
              <w:jc w:val="center"/>
              <w:rPr>
                <w:rFonts w:ascii="宋体" w:hAnsi="宋体" w:cs="宋体"/>
                <w:szCs w:val="21"/>
              </w:rPr>
            </w:pPr>
            <w:r>
              <w:rPr>
                <w:rFonts w:hint="eastAsia" w:ascii="宋体" w:hAnsi="宋体" w:cs="宋体"/>
                <w:szCs w:val="21"/>
              </w:rPr>
              <w:t>顶岗实习</w:t>
            </w:r>
          </w:p>
        </w:tc>
        <w:tc>
          <w:tcPr>
            <w:tcW w:w="402" w:type="pct"/>
            <w:vAlign w:val="center"/>
          </w:tcPr>
          <w:p>
            <w:pPr>
              <w:rPr>
                <w:rFonts w:ascii="宋体" w:hAnsi="宋体" w:cs="宋体"/>
                <w:szCs w:val="21"/>
              </w:rPr>
            </w:pPr>
            <w:r>
              <w:rPr>
                <w:rFonts w:hint="eastAsia" w:ascii="宋体" w:hAnsi="宋体" w:cs="宋体"/>
                <w:szCs w:val="21"/>
              </w:rPr>
              <w:t>限选</w:t>
            </w:r>
          </w:p>
        </w:tc>
        <w:tc>
          <w:tcPr>
            <w:tcW w:w="403" w:type="pct"/>
            <w:vAlign w:val="center"/>
          </w:tcPr>
          <w:p>
            <w:pPr>
              <w:jc w:val="center"/>
              <w:rPr>
                <w:rFonts w:ascii="宋体" w:hAnsi="宋体" w:cs="宋体"/>
                <w:szCs w:val="21"/>
              </w:rPr>
            </w:pPr>
            <w:r>
              <w:rPr>
                <w:rFonts w:ascii="宋体" w:hAnsi="宋体" w:cs="宋体"/>
                <w:szCs w:val="21"/>
              </w:rPr>
              <w:t>2</w:t>
            </w:r>
            <w:r>
              <w:rPr>
                <w:rFonts w:hint="eastAsia" w:ascii="宋体" w:hAnsi="宋体" w:cs="宋体"/>
                <w:szCs w:val="21"/>
              </w:rPr>
              <w:t>4</w:t>
            </w:r>
          </w:p>
        </w:tc>
        <w:tc>
          <w:tcPr>
            <w:tcW w:w="1628" w:type="pct"/>
            <w:vAlign w:val="center"/>
          </w:tcPr>
          <w:p>
            <w:pPr>
              <w:snapToGrid w:val="0"/>
              <w:rPr>
                <w:rFonts w:ascii="宋体" w:hAnsi="宋体" w:cs="宋体"/>
                <w:szCs w:val="21"/>
              </w:rPr>
            </w:pPr>
            <w:r>
              <w:rPr>
                <w:rFonts w:hint="eastAsia" w:ascii="宋体" w:hAnsi="宋体" w:cs="宋体"/>
                <w:szCs w:val="21"/>
              </w:rPr>
              <w:t>第一阶段学生参加与所学专业相匹配的专业顶岗实习。学校、实习单位、学生三方签订实习协议书，学生按要求到岗工作，撰写实习周记。第二阶段参加就业顶岗实习，要求完成实习报告。自主创业学生，须编制创业计划书，提交营业执照。</w:t>
            </w:r>
          </w:p>
        </w:tc>
        <w:tc>
          <w:tcPr>
            <w:tcW w:w="512" w:type="pct"/>
            <w:vAlign w:val="center"/>
          </w:tcPr>
          <w:p>
            <w:pPr>
              <w:snapToGrid w:val="0"/>
              <w:rPr>
                <w:rFonts w:ascii="宋体" w:hAnsi="宋体" w:cs="宋体"/>
                <w:szCs w:val="21"/>
              </w:rPr>
            </w:pPr>
            <w:r>
              <w:rPr>
                <w:rFonts w:hint="eastAsia" w:ascii="宋体" w:hAnsi="宋体" w:cs="宋体"/>
                <w:szCs w:val="21"/>
              </w:rPr>
              <w:t>校外实训基地</w:t>
            </w:r>
          </w:p>
        </w:tc>
        <w:tc>
          <w:tcPr>
            <w:tcW w:w="519" w:type="pct"/>
            <w:vAlign w:val="center"/>
          </w:tcPr>
          <w:p>
            <w:pPr>
              <w:snapToGrid w:val="0"/>
              <w:rPr>
                <w:rFonts w:ascii="宋体" w:hAnsi="宋体" w:cs="宋体"/>
                <w:szCs w:val="21"/>
              </w:rPr>
            </w:pPr>
            <w:r>
              <w:rPr>
                <w:rFonts w:hint="eastAsia" w:ascii="宋体" w:hAnsi="宋体" w:cs="宋体"/>
                <w:szCs w:val="21"/>
              </w:rPr>
              <w:t>实习报告</w:t>
            </w:r>
            <w:r>
              <w:rPr>
                <w:rFonts w:ascii="宋体" w:hAnsi="宋体" w:cs="宋体"/>
                <w:szCs w:val="21"/>
              </w:rPr>
              <w:t>+周记或创业计划书+营业执照</w:t>
            </w:r>
          </w:p>
        </w:tc>
        <w:tc>
          <w:tcPr>
            <w:tcW w:w="500" w:type="pct"/>
            <w:vAlign w:val="center"/>
          </w:tcPr>
          <w:p>
            <w:pPr>
              <w:snapToGrid w:val="0"/>
              <w:jc w:val="center"/>
              <w:rPr>
                <w:rFonts w:ascii="宋体" w:hAnsi="宋体" w:cs="宋体"/>
                <w:szCs w:val="21"/>
              </w:rPr>
            </w:pPr>
            <w:r>
              <w:rPr>
                <w:rFonts w:ascii="宋体" w:hAnsi="宋体" w:cs="宋体"/>
                <w:szCs w:val="21"/>
              </w:rPr>
              <w:t>2</w:t>
            </w:r>
            <w:r>
              <w:rPr>
                <w:rFonts w:hint="eastAsia" w:ascii="宋体" w:hAnsi="宋体" w:cs="宋体"/>
                <w:szCs w:val="21"/>
              </w:rPr>
              <w:t>4</w:t>
            </w:r>
            <w:r>
              <w:rPr>
                <w:rFonts w:ascii="宋体" w:hAnsi="宋体" w:cs="宋体"/>
                <w:szCs w:val="21"/>
              </w:rPr>
              <w:t>/600</w:t>
            </w:r>
          </w:p>
        </w:tc>
        <w:tc>
          <w:tcPr>
            <w:tcW w:w="384" w:type="pct"/>
            <w:vAlign w:val="center"/>
          </w:tcPr>
          <w:p>
            <w:pPr>
              <w:snapToGrid w:val="0"/>
              <w:jc w:val="center"/>
              <w:rPr>
                <w:rFonts w:ascii="宋体" w:hAnsi="宋体" w:cs="宋体"/>
                <w:szCs w:val="21"/>
              </w:rPr>
            </w:pPr>
            <w:r>
              <w:rPr>
                <w:rFonts w:hint="eastAsia" w:ascii="宋体" w:hAnsi="宋体"/>
                <w:szCs w:val="21"/>
              </w:rPr>
              <w:t>第</w:t>
            </w:r>
            <w:r>
              <w:rPr>
                <w:rFonts w:hint="eastAsia" w:ascii="宋体" w:hAnsi="宋体" w:cs="宋体"/>
                <w:szCs w:val="21"/>
              </w:rPr>
              <w:t>9</w:t>
            </w:r>
            <w:r>
              <w:rPr>
                <w:rFonts w:ascii="宋体" w:hAnsi="宋体" w:cs="宋体"/>
                <w:szCs w:val="21"/>
              </w:rPr>
              <w:t>,</w:t>
            </w:r>
            <w:r>
              <w:rPr>
                <w:rFonts w:hint="eastAsia" w:ascii="宋体" w:hAnsi="宋体" w:cs="宋体"/>
                <w:szCs w:val="21"/>
              </w:rPr>
              <w:t>10</w:t>
            </w:r>
            <w:r>
              <w:rPr>
                <w:rFonts w:hint="eastAsia" w:ascii="宋体" w:hAnsi="宋体"/>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47" w:type="pct"/>
            <w:vAlign w:val="center"/>
          </w:tcPr>
          <w:p>
            <w:pPr>
              <w:jc w:val="center"/>
              <w:rPr>
                <w:rFonts w:ascii="宋体" w:cs="宋体"/>
                <w:szCs w:val="21"/>
              </w:rPr>
            </w:pPr>
            <w:r>
              <w:rPr>
                <w:rFonts w:hint="eastAsia" w:ascii="宋体" w:hAnsi="宋体" w:cs="宋体"/>
                <w:szCs w:val="21"/>
              </w:rPr>
              <w:t>毕业综合作业</w:t>
            </w:r>
          </w:p>
        </w:tc>
        <w:tc>
          <w:tcPr>
            <w:tcW w:w="402" w:type="pct"/>
            <w:vAlign w:val="center"/>
          </w:tcPr>
          <w:p>
            <w:pPr>
              <w:snapToGrid w:val="0"/>
              <w:rPr>
                <w:rFonts w:ascii="宋体"/>
                <w:szCs w:val="21"/>
              </w:rPr>
            </w:pPr>
            <w:r>
              <w:rPr>
                <w:rFonts w:hint="eastAsia" w:ascii="宋体" w:hAnsi="宋体" w:cs="宋体"/>
                <w:szCs w:val="21"/>
              </w:rPr>
              <w:t>限选</w:t>
            </w:r>
          </w:p>
        </w:tc>
        <w:tc>
          <w:tcPr>
            <w:tcW w:w="403" w:type="pct"/>
            <w:vAlign w:val="center"/>
          </w:tcPr>
          <w:p>
            <w:pPr>
              <w:snapToGrid w:val="0"/>
              <w:jc w:val="center"/>
              <w:rPr>
                <w:rFonts w:ascii="宋体" w:hAnsi="宋体"/>
                <w:szCs w:val="21"/>
              </w:rPr>
            </w:pPr>
            <w:r>
              <w:rPr>
                <w:rFonts w:ascii="宋体" w:hAnsi="宋体"/>
                <w:szCs w:val="21"/>
              </w:rPr>
              <w:t>10</w:t>
            </w:r>
          </w:p>
        </w:tc>
        <w:tc>
          <w:tcPr>
            <w:tcW w:w="1628" w:type="pct"/>
            <w:vAlign w:val="center"/>
          </w:tcPr>
          <w:p>
            <w:pPr>
              <w:snapToGrid w:val="0"/>
              <w:jc w:val="center"/>
              <w:rPr>
                <w:rFonts w:ascii="宋体" w:hAnsi="宋体"/>
                <w:szCs w:val="21"/>
              </w:rPr>
            </w:pPr>
            <w:r>
              <w:rPr>
                <w:rFonts w:hint="eastAsia" w:ascii="Arial" w:hAnsi="Arial" w:cs="Arial"/>
                <w:szCs w:val="21"/>
              </w:rPr>
              <w:t>根据指导教师任务完成设计，要求学生完成开题报告、任务书和毕业设计（论文）。</w:t>
            </w:r>
          </w:p>
        </w:tc>
        <w:tc>
          <w:tcPr>
            <w:tcW w:w="512" w:type="pct"/>
            <w:vAlign w:val="center"/>
          </w:tcPr>
          <w:p>
            <w:pPr>
              <w:snapToGrid w:val="0"/>
              <w:rPr>
                <w:rFonts w:ascii="宋体" w:hAnsi="宋体"/>
                <w:szCs w:val="21"/>
              </w:rPr>
            </w:pPr>
            <w:r>
              <w:rPr>
                <w:rFonts w:hint="eastAsia" w:ascii="宋体" w:hAnsi="宋体"/>
                <w:szCs w:val="21"/>
              </w:rPr>
              <w:t>校外实训基地</w:t>
            </w:r>
          </w:p>
        </w:tc>
        <w:tc>
          <w:tcPr>
            <w:tcW w:w="519" w:type="pct"/>
            <w:vAlign w:val="center"/>
          </w:tcPr>
          <w:p>
            <w:pPr>
              <w:snapToGrid w:val="0"/>
              <w:rPr>
                <w:rFonts w:ascii="宋体" w:hAnsi="宋体"/>
                <w:szCs w:val="21"/>
              </w:rPr>
            </w:pPr>
            <w:r>
              <w:rPr>
                <w:rFonts w:hint="eastAsia" w:ascii="Arial" w:hAnsi="Arial" w:cs="Arial"/>
                <w:szCs w:val="21"/>
              </w:rPr>
              <w:t>毕业设计（论文）</w:t>
            </w:r>
          </w:p>
        </w:tc>
        <w:tc>
          <w:tcPr>
            <w:tcW w:w="500" w:type="pct"/>
            <w:vAlign w:val="center"/>
          </w:tcPr>
          <w:p>
            <w:pPr>
              <w:snapToGrid w:val="0"/>
              <w:jc w:val="center"/>
              <w:rPr>
                <w:rFonts w:ascii="宋体" w:hAnsi="宋体"/>
                <w:szCs w:val="21"/>
              </w:rPr>
            </w:pPr>
            <w:r>
              <w:rPr>
                <w:rFonts w:ascii="宋体" w:hAnsi="宋体"/>
                <w:szCs w:val="21"/>
              </w:rPr>
              <w:t>10/</w:t>
            </w:r>
            <w:r>
              <w:rPr>
                <w:rFonts w:hint="eastAsia" w:ascii="宋体" w:hAnsi="宋体"/>
                <w:szCs w:val="21"/>
              </w:rPr>
              <w:t>25</w:t>
            </w:r>
            <w:r>
              <w:rPr>
                <w:rFonts w:ascii="宋体" w:hAnsi="宋体"/>
                <w:szCs w:val="21"/>
              </w:rPr>
              <w:t>0</w:t>
            </w:r>
          </w:p>
        </w:tc>
        <w:tc>
          <w:tcPr>
            <w:tcW w:w="384" w:type="pct"/>
            <w:vAlign w:val="center"/>
          </w:tcPr>
          <w:p>
            <w:pPr>
              <w:snapToGrid w:val="0"/>
              <w:jc w:val="center"/>
              <w:rPr>
                <w:rFonts w:ascii="宋体" w:hAnsi="宋体"/>
                <w:szCs w:val="21"/>
              </w:rPr>
            </w:pPr>
            <w:r>
              <w:rPr>
                <w:rFonts w:hint="eastAsia" w:ascii="宋体" w:hAnsi="宋体"/>
                <w:szCs w:val="21"/>
              </w:rPr>
              <w:t>第</w:t>
            </w:r>
            <w:r>
              <w:rPr>
                <w:rFonts w:hint="eastAsia" w:ascii="宋体" w:hAnsi="宋体" w:cs="宋体"/>
                <w:szCs w:val="21"/>
              </w:rPr>
              <w:t>9</w:t>
            </w:r>
            <w:r>
              <w:rPr>
                <w:rFonts w:ascii="宋体" w:hAnsi="宋体" w:cs="宋体"/>
                <w:szCs w:val="21"/>
              </w:rPr>
              <w:t>,</w:t>
            </w:r>
            <w:r>
              <w:rPr>
                <w:rFonts w:hint="eastAsia" w:ascii="宋体" w:hAnsi="宋体" w:cs="宋体"/>
                <w:szCs w:val="21"/>
              </w:rPr>
              <w:t>10</w:t>
            </w:r>
            <w:r>
              <w:rPr>
                <w:rFonts w:hint="eastAsia" w:ascii="宋体" w:hAnsi="宋体"/>
                <w:szCs w:val="21"/>
              </w:rPr>
              <w:t>学期</w:t>
            </w:r>
          </w:p>
        </w:tc>
      </w:tr>
    </w:tbl>
    <w:p/>
    <w:p>
      <w:pPr>
        <w:keepNext/>
        <w:keepLines/>
        <w:snapToGrid w:val="0"/>
        <w:spacing w:before="156" w:beforeLines="50" w:after="156" w:afterLines="50" w:line="440" w:lineRule="exact"/>
        <w:outlineLvl w:val="1"/>
        <w:rPr>
          <w:rFonts w:ascii="宋体" w:hAnsi="宋体" w:cs="宋体"/>
          <w:b/>
          <w:bCs/>
          <w:kern w:val="44"/>
          <w:sz w:val="28"/>
          <w:szCs w:val="28"/>
        </w:rPr>
      </w:pPr>
      <w:bookmarkStart w:id="15" w:name="_Toc448835390"/>
      <w:bookmarkStart w:id="16" w:name="_Toc288748876"/>
      <w:bookmarkStart w:id="17" w:name="_Toc391645957"/>
      <w:r>
        <w:rPr>
          <w:rFonts w:hint="eastAsia" w:ascii="宋体" w:hAnsi="宋体" w:cs="宋体"/>
          <w:b/>
          <w:bCs/>
          <w:kern w:val="44"/>
          <w:sz w:val="28"/>
          <w:szCs w:val="28"/>
        </w:rPr>
        <w:t>七、教学进程安排</w:t>
      </w:r>
    </w:p>
    <w:p>
      <w:pPr>
        <w:snapToGrid w:val="0"/>
        <w:spacing w:line="440" w:lineRule="exact"/>
        <w:ind w:firstLine="480" w:firstLineChars="200"/>
        <w:rPr>
          <w:rFonts w:ascii="宋体" w:hAnsi="宋体"/>
          <w:bCs/>
          <w:sz w:val="24"/>
        </w:rPr>
      </w:pPr>
      <w:r>
        <w:rPr>
          <w:rFonts w:hint="eastAsia" w:ascii="宋体" w:hAnsi="宋体"/>
          <w:bCs/>
          <w:sz w:val="24"/>
        </w:rPr>
        <w:t>见附表</w:t>
      </w:r>
    </w:p>
    <w:p>
      <w:pPr>
        <w:keepNext/>
        <w:keepLines/>
        <w:snapToGrid w:val="0"/>
        <w:spacing w:before="156" w:beforeLines="50" w:after="156" w:afterLines="50" w:line="440" w:lineRule="exact"/>
        <w:outlineLvl w:val="1"/>
        <w:rPr>
          <w:rFonts w:ascii="宋体" w:hAnsi="宋体" w:cs="宋体"/>
          <w:b/>
          <w:bCs/>
          <w:kern w:val="44"/>
          <w:sz w:val="28"/>
          <w:szCs w:val="28"/>
        </w:rPr>
      </w:pPr>
      <w:r>
        <w:rPr>
          <w:rFonts w:hint="eastAsia" w:ascii="宋体" w:hAnsi="宋体" w:cs="宋体"/>
          <w:b/>
          <w:bCs/>
          <w:kern w:val="44"/>
          <w:sz w:val="28"/>
          <w:szCs w:val="28"/>
        </w:rPr>
        <w:t>八、实施保障</w:t>
      </w:r>
    </w:p>
    <w:p>
      <w:pPr>
        <w:keepNext/>
        <w:keepLines/>
        <w:snapToGrid w:val="0"/>
        <w:spacing w:line="360" w:lineRule="auto"/>
        <w:ind w:firstLine="419" w:firstLineChars="174"/>
        <w:outlineLvl w:val="2"/>
        <w:rPr>
          <w:rFonts w:hint="eastAsia" w:ascii="宋体" w:hAnsi="宋体" w:cs="宋体"/>
          <w:b/>
          <w:bCs/>
          <w:kern w:val="44"/>
          <w:sz w:val="24"/>
        </w:rPr>
      </w:pPr>
      <w:r>
        <w:rPr>
          <w:rFonts w:hint="eastAsia" w:ascii="宋体" w:hAnsi="宋体" w:cs="宋体"/>
          <w:b/>
          <w:bCs/>
          <w:kern w:val="44"/>
          <w:sz w:val="24"/>
        </w:rPr>
        <w:t>（一）师资队伍</w:t>
      </w:r>
    </w:p>
    <w:p>
      <w:pPr>
        <w:snapToGrid w:val="0"/>
        <w:spacing w:line="440" w:lineRule="exact"/>
        <w:ind w:firstLine="482" w:firstLineChars="200"/>
        <w:rPr>
          <w:rFonts w:ascii="宋体" w:hAnsi="宋体"/>
          <w:b/>
          <w:bCs/>
          <w:sz w:val="24"/>
        </w:rPr>
      </w:pPr>
      <w:r>
        <w:rPr>
          <w:rFonts w:ascii="宋体" w:hAnsi="宋体"/>
          <w:b/>
          <w:bCs/>
          <w:sz w:val="24"/>
        </w:rPr>
        <w:t>1.队伍结构</w:t>
      </w:r>
    </w:p>
    <w:p>
      <w:pPr>
        <w:snapToGrid w:val="0"/>
        <w:spacing w:line="440" w:lineRule="exact"/>
        <w:ind w:firstLine="480" w:firstLineChars="200"/>
        <w:rPr>
          <w:rFonts w:ascii="宋体" w:hAnsi="宋体"/>
          <w:bCs/>
          <w:sz w:val="24"/>
        </w:rPr>
      </w:pPr>
      <w:r>
        <w:rPr>
          <w:rFonts w:hint="eastAsia" w:ascii="宋体" w:hAnsi="宋体"/>
          <w:bCs/>
          <w:sz w:val="24"/>
        </w:rPr>
        <w:t>学生数与本专业专任教师数比例不高于</w:t>
      </w:r>
      <w:r>
        <w:rPr>
          <w:rFonts w:ascii="宋体" w:hAnsi="宋体"/>
          <w:bCs/>
          <w:sz w:val="24"/>
        </w:rPr>
        <w:t>25</w:t>
      </w:r>
      <w:r>
        <w:rPr>
          <w:rFonts w:hint="eastAsia" w:ascii="宋体" w:hAnsi="宋体"/>
          <w:bCs/>
          <w:sz w:val="24"/>
        </w:rPr>
        <w:t>：</w:t>
      </w:r>
      <w:r>
        <w:rPr>
          <w:rFonts w:ascii="宋体" w:hAnsi="宋体"/>
          <w:bCs/>
          <w:sz w:val="24"/>
        </w:rPr>
        <w:t>1</w:t>
      </w:r>
      <w:r>
        <w:rPr>
          <w:rFonts w:hint="eastAsia" w:ascii="宋体" w:hAnsi="宋体"/>
          <w:bCs/>
          <w:sz w:val="24"/>
        </w:rPr>
        <w:t>，双师素质教师占专业教师比例不低于</w:t>
      </w:r>
      <w:r>
        <w:rPr>
          <w:rFonts w:ascii="宋体" w:hAnsi="宋体"/>
          <w:bCs/>
          <w:sz w:val="24"/>
        </w:rPr>
        <w:t>60%</w:t>
      </w:r>
      <w:r>
        <w:rPr>
          <w:rFonts w:hint="eastAsia" w:ascii="宋体" w:hAnsi="宋体"/>
          <w:bCs/>
          <w:sz w:val="24"/>
        </w:rPr>
        <w:t>，专任教师队伍要考虑职称、年龄，形成合理的梯队结构。</w:t>
      </w:r>
    </w:p>
    <w:p>
      <w:pPr>
        <w:snapToGrid w:val="0"/>
        <w:spacing w:line="440" w:lineRule="exact"/>
        <w:ind w:firstLine="482" w:firstLineChars="200"/>
        <w:rPr>
          <w:rFonts w:ascii="宋体"/>
          <w:b/>
          <w:bCs/>
          <w:sz w:val="24"/>
        </w:rPr>
      </w:pPr>
      <w:r>
        <w:rPr>
          <w:rFonts w:ascii="宋体" w:hAnsi="宋体"/>
          <w:b/>
          <w:bCs/>
          <w:sz w:val="24"/>
        </w:rPr>
        <w:t>2.</w:t>
      </w:r>
      <w:r>
        <w:rPr>
          <w:rFonts w:hint="eastAsia" w:ascii="宋体" w:hAnsi="宋体"/>
          <w:b/>
          <w:bCs/>
          <w:sz w:val="24"/>
        </w:rPr>
        <w:t>专任教师要求</w:t>
      </w:r>
    </w:p>
    <w:p>
      <w:pPr>
        <w:spacing w:line="440" w:lineRule="exact"/>
        <w:ind w:firstLine="420"/>
        <w:rPr>
          <w:rFonts w:ascii="宋体" w:hAnsi="宋体"/>
          <w:bCs/>
          <w:sz w:val="24"/>
        </w:rPr>
      </w:pPr>
      <w:r>
        <w:rPr>
          <w:rFonts w:hint="eastAsia" w:ascii="宋体" w:hAnsi="宋体"/>
          <w:bCs/>
          <w:sz w:val="24"/>
        </w:rPr>
        <w:t>（</w:t>
      </w:r>
      <w:r>
        <w:rPr>
          <w:rFonts w:ascii="宋体" w:hAnsi="宋体"/>
          <w:bCs/>
          <w:sz w:val="24"/>
        </w:rPr>
        <w:t>1</w:t>
      </w:r>
      <w:r>
        <w:rPr>
          <w:rFonts w:hint="eastAsia" w:ascii="宋体" w:hAnsi="宋体"/>
          <w:bCs/>
          <w:sz w:val="24"/>
        </w:rPr>
        <w:t>）具备交通类专业大学本科以上学历，通过培训获得教师资格证书，具备教学能</w:t>
      </w:r>
    </w:p>
    <w:p>
      <w:pPr>
        <w:spacing w:line="440" w:lineRule="exact"/>
        <w:ind w:firstLine="420"/>
        <w:rPr>
          <w:rFonts w:ascii="宋体"/>
          <w:bCs/>
          <w:sz w:val="24"/>
        </w:rPr>
      </w:pPr>
      <w:r>
        <w:rPr>
          <w:rFonts w:hint="eastAsia" w:ascii="宋体" w:hAnsi="宋体"/>
          <w:bCs/>
          <w:sz w:val="24"/>
        </w:rPr>
        <w:t>力；</w:t>
      </w:r>
    </w:p>
    <w:p>
      <w:pPr>
        <w:spacing w:line="440" w:lineRule="exact"/>
        <w:ind w:firstLine="420"/>
        <w:rPr>
          <w:rFonts w:ascii="宋体"/>
          <w:bCs/>
          <w:sz w:val="24"/>
        </w:rPr>
      </w:pPr>
      <w:r>
        <w:rPr>
          <w:rFonts w:hint="eastAsia" w:ascii="宋体" w:hAnsi="宋体"/>
          <w:bCs/>
          <w:sz w:val="24"/>
        </w:rPr>
        <w:t>（</w:t>
      </w:r>
      <w:r>
        <w:rPr>
          <w:rFonts w:ascii="宋体" w:hAnsi="宋体"/>
          <w:bCs/>
          <w:sz w:val="24"/>
        </w:rPr>
        <w:t>2</w:t>
      </w:r>
      <w:r>
        <w:rPr>
          <w:rFonts w:hint="eastAsia" w:ascii="宋体" w:hAnsi="宋体"/>
          <w:bCs/>
          <w:sz w:val="24"/>
        </w:rPr>
        <w:t>）能够调配、规划实验实训设备，完善符合现代教学方式的教学场所；</w:t>
      </w:r>
    </w:p>
    <w:p>
      <w:pPr>
        <w:spacing w:line="440" w:lineRule="exact"/>
        <w:ind w:firstLine="420"/>
        <w:rPr>
          <w:rFonts w:ascii="宋体"/>
          <w:bCs/>
          <w:sz w:val="24"/>
        </w:rPr>
      </w:pPr>
      <w:r>
        <w:rPr>
          <w:rFonts w:hint="eastAsia" w:ascii="宋体" w:hAnsi="宋体"/>
          <w:bCs/>
          <w:sz w:val="24"/>
        </w:rPr>
        <w:t>（</w:t>
      </w:r>
      <w:r>
        <w:rPr>
          <w:rFonts w:ascii="宋体" w:hAnsi="宋体"/>
          <w:bCs/>
          <w:sz w:val="24"/>
        </w:rPr>
        <w:t>3</w:t>
      </w:r>
      <w:r>
        <w:rPr>
          <w:rFonts w:hint="eastAsia" w:ascii="宋体" w:hAnsi="宋体"/>
          <w:bCs/>
          <w:sz w:val="24"/>
        </w:rPr>
        <w:t>）具有指导学生参加城轨运营相关学生竞赛的能力；</w:t>
      </w:r>
    </w:p>
    <w:p>
      <w:pPr>
        <w:spacing w:line="440" w:lineRule="exact"/>
        <w:ind w:firstLine="420"/>
        <w:rPr>
          <w:rFonts w:ascii="宋体"/>
          <w:bCs/>
          <w:sz w:val="24"/>
        </w:rPr>
      </w:pPr>
      <w:r>
        <w:rPr>
          <w:rFonts w:hint="eastAsia" w:ascii="宋体" w:hAnsi="宋体"/>
          <w:bCs/>
          <w:sz w:val="24"/>
        </w:rPr>
        <w:t>（</w:t>
      </w:r>
      <w:r>
        <w:rPr>
          <w:rFonts w:ascii="宋体" w:hAnsi="宋体"/>
          <w:bCs/>
          <w:sz w:val="24"/>
        </w:rPr>
        <w:t>4</w:t>
      </w:r>
      <w:r>
        <w:rPr>
          <w:rFonts w:hint="eastAsia" w:ascii="宋体" w:hAnsi="宋体"/>
          <w:bCs/>
          <w:sz w:val="24"/>
        </w:rPr>
        <w:t>）能独立承担</w:t>
      </w:r>
      <w:r>
        <w:rPr>
          <w:rFonts w:ascii="宋体" w:hAnsi="宋体"/>
          <w:bCs/>
          <w:sz w:val="24"/>
        </w:rPr>
        <w:t>1</w:t>
      </w:r>
      <w:r>
        <w:rPr>
          <w:rFonts w:ascii="宋体"/>
          <w:bCs/>
          <w:sz w:val="24"/>
        </w:rPr>
        <w:t>-</w:t>
      </w:r>
      <w:r>
        <w:rPr>
          <w:rFonts w:ascii="宋体" w:hAnsi="宋体"/>
          <w:bCs/>
          <w:sz w:val="24"/>
        </w:rPr>
        <w:t>2</w:t>
      </w:r>
      <w:r>
        <w:rPr>
          <w:rFonts w:hint="eastAsia" w:ascii="宋体" w:hAnsi="宋体"/>
          <w:bCs/>
          <w:sz w:val="24"/>
        </w:rPr>
        <w:t>门城轨运营实训课程，独立指导学生完成课程设计；</w:t>
      </w:r>
    </w:p>
    <w:p>
      <w:pPr>
        <w:spacing w:line="440" w:lineRule="exact"/>
        <w:ind w:firstLine="420"/>
        <w:rPr>
          <w:rFonts w:ascii="宋体"/>
          <w:bCs/>
          <w:sz w:val="24"/>
        </w:rPr>
      </w:pPr>
      <w:r>
        <w:rPr>
          <w:rFonts w:hint="eastAsia" w:ascii="宋体" w:hAnsi="宋体"/>
          <w:bCs/>
          <w:sz w:val="24"/>
        </w:rPr>
        <w:t>（</w:t>
      </w:r>
      <w:r>
        <w:rPr>
          <w:rFonts w:ascii="宋体" w:hAnsi="宋体"/>
          <w:bCs/>
          <w:sz w:val="24"/>
        </w:rPr>
        <w:t>5</w:t>
      </w:r>
      <w:r>
        <w:rPr>
          <w:rFonts w:hint="eastAsia" w:ascii="宋体" w:hAnsi="宋体"/>
          <w:bCs/>
          <w:sz w:val="24"/>
        </w:rPr>
        <w:t>）能够指导高职学生完成高质量的轨道企业实习和项目设计；</w:t>
      </w:r>
    </w:p>
    <w:p>
      <w:pPr>
        <w:spacing w:line="440" w:lineRule="exact"/>
        <w:ind w:firstLine="420"/>
        <w:rPr>
          <w:rFonts w:ascii="宋体"/>
          <w:bCs/>
          <w:sz w:val="24"/>
        </w:rPr>
      </w:pPr>
      <w:r>
        <w:rPr>
          <w:rFonts w:hint="eastAsia" w:ascii="宋体" w:hAnsi="宋体"/>
          <w:bCs/>
          <w:sz w:val="24"/>
        </w:rPr>
        <w:t>（</w:t>
      </w:r>
      <w:r>
        <w:rPr>
          <w:rFonts w:ascii="宋体" w:hAnsi="宋体"/>
          <w:bCs/>
          <w:sz w:val="24"/>
        </w:rPr>
        <w:t>6</w:t>
      </w:r>
      <w:r>
        <w:rPr>
          <w:rFonts w:hint="eastAsia" w:ascii="宋体" w:hAnsi="宋体"/>
          <w:bCs/>
          <w:sz w:val="24"/>
        </w:rPr>
        <w:t>）能够为轨道企业工程技术人员开设专业技术短训班；</w:t>
      </w:r>
    </w:p>
    <w:p>
      <w:pPr>
        <w:spacing w:line="440" w:lineRule="exact"/>
        <w:ind w:firstLine="420"/>
        <w:rPr>
          <w:rFonts w:ascii="宋体"/>
          <w:bCs/>
          <w:sz w:val="24"/>
        </w:rPr>
      </w:pPr>
      <w:r>
        <w:rPr>
          <w:rFonts w:hint="eastAsia" w:ascii="宋体" w:hAnsi="宋体"/>
          <w:bCs/>
          <w:sz w:val="24"/>
        </w:rPr>
        <w:t>（</w:t>
      </w:r>
      <w:r>
        <w:rPr>
          <w:rFonts w:ascii="宋体" w:hAnsi="宋体"/>
          <w:bCs/>
          <w:sz w:val="24"/>
        </w:rPr>
        <w:t>7</w:t>
      </w:r>
      <w:r>
        <w:rPr>
          <w:rFonts w:hint="eastAsia" w:ascii="宋体" w:hAnsi="宋体"/>
          <w:bCs/>
          <w:sz w:val="24"/>
        </w:rPr>
        <w:t>）能够胜任校企合作工作，为企业提供技术服务，解决轨道企业的实际问题；</w:t>
      </w:r>
    </w:p>
    <w:p>
      <w:pPr>
        <w:spacing w:line="440" w:lineRule="exact"/>
        <w:ind w:firstLine="420"/>
        <w:rPr>
          <w:rFonts w:ascii="宋体"/>
          <w:bCs/>
          <w:sz w:val="24"/>
        </w:rPr>
      </w:pPr>
      <w:r>
        <w:rPr>
          <w:rFonts w:hint="eastAsia" w:ascii="宋体" w:hAnsi="宋体"/>
          <w:bCs/>
          <w:sz w:val="24"/>
        </w:rPr>
        <w:t>（</w:t>
      </w:r>
      <w:r>
        <w:rPr>
          <w:rFonts w:ascii="宋体" w:hAnsi="宋体"/>
          <w:bCs/>
          <w:sz w:val="24"/>
        </w:rPr>
        <w:t>8</w:t>
      </w:r>
      <w:r>
        <w:rPr>
          <w:rFonts w:hint="eastAsia" w:ascii="宋体" w:hAnsi="宋体"/>
          <w:bCs/>
          <w:sz w:val="24"/>
        </w:rPr>
        <w:t>）专任骨干教师要定期深入轨道企业生产一线进行实践锻炼，具有较高的双师比例；</w:t>
      </w:r>
    </w:p>
    <w:p>
      <w:pPr>
        <w:spacing w:line="440" w:lineRule="exact"/>
        <w:ind w:firstLine="420"/>
        <w:rPr>
          <w:rFonts w:ascii="宋体"/>
          <w:bCs/>
          <w:sz w:val="24"/>
        </w:rPr>
      </w:pPr>
      <w:r>
        <w:rPr>
          <w:rFonts w:hint="eastAsia" w:ascii="宋体" w:hAnsi="宋体"/>
          <w:bCs/>
          <w:sz w:val="24"/>
        </w:rPr>
        <w:t>（</w:t>
      </w:r>
      <w:r>
        <w:rPr>
          <w:rFonts w:ascii="宋体" w:hAnsi="宋体"/>
          <w:bCs/>
          <w:sz w:val="24"/>
        </w:rPr>
        <w:t>9</w:t>
      </w:r>
      <w:r>
        <w:rPr>
          <w:rFonts w:hint="eastAsia" w:ascii="宋体" w:hAnsi="宋体"/>
          <w:bCs/>
          <w:sz w:val="24"/>
        </w:rPr>
        <w:t>）专任骨干教师应接受过站务员职业教育教学方法论的培训，具有开发专业课程的能力，能够指导新教师完成上岗实习工作；</w:t>
      </w:r>
    </w:p>
    <w:p>
      <w:pPr>
        <w:spacing w:line="440" w:lineRule="exact"/>
        <w:ind w:firstLine="420"/>
        <w:rPr>
          <w:rFonts w:ascii="宋体"/>
          <w:bCs/>
          <w:sz w:val="24"/>
        </w:rPr>
      </w:pPr>
      <w:r>
        <w:rPr>
          <w:rFonts w:hint="eastAsia" w:ascii="宋体" w:hAnsi="宋体"/>
          <w:bCs/>
          <w:sz w:val="24"/>
        </w:rPr>
        <w:t>（</w:t>
      </w:r>
      <w:r>
        <w:rPr>
          <w:rFonts w:ascii="宋体" w:hAnsi="宋体"/>
          <w:bCs/>
          <w:sz w:val="24"/>
        </w:rPr>
        <w:t>1</w:t>
      </w:r>
      <w:r>
        <w:rPr>
          <w:rFonts w:ascii="宋体"/>
          <w:bCs/>
          <w:sz w:val="24"/>
        </w:rPr>
        <w:t>0</w:t>
      </w:r>
      <w:r>
        <w:rPr>
          <w:rFonts w:hint="eastAsia" w:ascii="宋体" w:hAnsi="宋体"/>
          <w:bCs/>
          <w:sz w:val="24"/>
        </w:rPr>
        <w:t>）了解城市轨道交通运营管理相关岗位</w:t>
      </w:r>
      <w:r>
        <w:rPr>
          <w:rFonts w:ascii="宋体" w:hAnsi="宋体"/>
          <w:bCs/>
          <w:sz w:val="24"/>
        </w:rPr>
        <w:t>的技能</w:t>
      </w:r>
      <w:r>
        <w:rPr>
          <w:rFonts w:hint="eastAsia" w:ascii="宋体" w:hAnsi="宋体"/>
          <w:bCs/>
          <w:sz w:val="24"/>
        </w:rPr>
        <w:t>，并有相关顶岗实践经验。</w:t>
      </w:r>
    </w:p>
    <w:p>
      <w:pPr>
        <w:snapToGrid w:val="0"/>
        <w:spacing w:line="440" w:lineRule="exact"/>
        <w:ind w:firstLine="482" w:firstLineChars="200"/>
        <w:rPr>
          <w:rFonts w:ascii="宋体"/>
          <w:b/>
          <w:bCs/>
          <w:sz w:val="24"/>
        </w:rPr>
      </w:pPr>
      <w:r>
        <w:rPr>
          <w:rFonts w:ascii="宋体" w:hAnsi="宋体"/>
          <w:b/>
          <w:bCs/>
          <w:sz w:val="24"/>
        </w:rPr>
        <w:t>3.</w:t>
      </w:r>
      <w:r>
        <w:rPr>
          <w:rFonts w:hint="eastAsia" w:ascii="宋体" w:hAnsi="宋体"/>
          <w:b/>
          <w:bCs/>
          <w:sz w:val="24"/>
        </w:rPr>
        <w:t>兼职教师要求</w:t>
      </w:r>
    </w:p>
    <w:p>
      <w:pPr>
        <w:spacing w:line="440" w:lineRule="exact"/>
        <w:ind w:firstLine="42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）城市轨道交通企业的主要技术骨干或技术能手，从事相关工作</w:t>
      </w:r>
      <w:r>
        <w:rPr>
          <w:rFonts w:ascii="宋体" w:hAnsi="宋体"/>
          <w:bCs/>
          <w:sz w:val="24"/>
        </w:rPr>
        <w:t>3</w:t>
      </w:r>
      <w:r>
        <w:rPr>
          <w:rFonts w:hint="eastAsia" w:ascii="宋体" w:hAnsi="宋体"/>
          <w:bCs/>
          <w:sz w:val="24"/>
        </w:rPr>
        <w:t>年以上</w:t>
      </w:r>
      <w:r>
        <w:rPr>
          <w:rFonts w:hint="eastAsia" w:ascii="宋体"/>
          <w:bCs/>
          <w:sz w:val="24"/>
        </w:rPr>
        <w:t>；</w:t>
      </w:r>
    </w:p>
    <w:p>
      <w:pPr>
        <w:spacing w:line="440" w:lineRule="exact"/>
        <w:ind w:firstLine="420"/>
        <w:rPr>
          <w:rFonts w:ascii="宋体" w:hAnsi="宋体"/>
          <w:bCs/>
          <w:sz w:val="24"/>
        </w:rPr>
      </w:pPr>
      <w:r>
        <w:rPr>
          <w:rFonts w:hint="eastAsia" w:ascii="宋体" w:hAnsi="宋体"/>
          <w:bCs/>
          <w:sz w:val="24"/>
        </w:rPr>
        <w:t>（</w:t>
      </w:r>
      <w:r>
        <w:rPr>
          <w:rFonts w:ascii="宋体" w:hAnsi="宋体"/>
          <w:bCs/>
          <w:sz w:val="24"/>
        </w:rPr>
        <w:t>2</w:t>
      </w:r>
      <w:r>
        <w:rPr>
          <w:rFonts w:hint="eastAsia" w:ascii="宋体" w:hAnsi="宋体"/>
          <w:bCs/>
          <w:sz w:val="24"/>
        </w:rPr>
        <w:t>）在行业内有一定威望和知名度，为企业的发展作出较大的贡献；</w:t>
      </w:r>
    </w:p>
    <w:p>
      <w:pPr>
        <w:spacing w:line="440" w:lineRule="exact"/>
        <w:ind w:firstLine="420"/>
        <w:rPr>
          <w:rFonts w:ascii="宋体"/>
          <w:bCs/>
          <w:sz w:val="24"/>
        </w:rPr>
      </w:pPr>
      <w:r>
        <w:rPr>
          <w:rFonts w:hint="eastAsia" w:ascii="宋体" w:hAnsi="宋体"/>
          <w:bCs/>
          <w:sz w:val="24"/>
        </w:rPr>
        <w:t>（</w:t>
      </w:r>
      <w:r>
        <w:rPr>
          <w:rFonts w:ascii="宋体" w:hAnsi="宋体"/>
          <w:bCs/>
          <w:sz w:val="24"/>
        </w:rPr>
        <w:t>3</w:t>
      </w:r>
      <w:r>
        <w:rPr>
          <w:rFonts w:hint="eastAsia" w:ascii="宋体" w:hAnsi="宋体"/>
          <w:bCs/>
          <w:sz w:val="24"/>
        </w:rPr>
        <w:t>）专业基础扎实，具有良好的语言表达能力，能胜任专业课程教学或实训指导工作；</w:t>
      </w:r>
    </w:p>
    <w:p>
      <w:pPr>
        <w:spacing w:line="440" w:lineRule="exact"/>
        <w:ind w:firstLine="420"/>
        <w:rPr>
          <w:rFonts w:ascii="宋体" w:hAnsi="宋体"/>
          <w:bCs/>
          <w:sz w:val="24"/>
        </w:rPr>
      </w:pPr>
      <w:r>
        <w:rPr>
          <w:rFonts w:hint="eastAsia" w:ascii="宋体" w:hAnsi="宋体"/>
          <w:bCs/>
          <w:sz w:val="24"/>
        </w:rPr>
        <w:t>（</w:t>
      </w:r>
      <w:r>
        <w:rPr>
          <w:rFonts w:ascii="宋体" w:hAnsi="宋体"/>
          <w:bCs/>
          <w:sz w:val="24"/>
        </w:rPr>
        <w:t>4）热心教育事业，责任心强，善于沟通，具有一定的课堂组织和管理能力；</w:t>
      </w:r>
    </w:p>
    <w:p>
      <w:pPr>
        <w:spacing w:line="440" w:lineRule="exact"/>
        <w:ind w:firstLine="420"/>
        <w:rPr>
          <w:rFonts w:ascii="宋体"/>
          <w:bCs/>
          <w:sz w:val="24"/>
        </w:rPr>
      </w:pPr>
      <w:r>
        <w:rPr>
          <w:rFonts w:hint="eastAsia" w:ascii="宋体" w:hAnsi="宋体"/>
          <w:bCs/>
          <w:sz w:val="24"/>
        </w:rPr>
        <w:t>（</w:t>
      </w:r>
      <w:r>
        <w:rPr>
          <w:rFonts w:ascii="宋体" w:hAnsi="宋体"/>
          <w:bCs/>
          <w:sz w:val="24"/>
        </w:rPr>
        <w:t>5）以城市轨道交通运营管理为主要研究方向。</w:t>
      </w:r>
    </w:p>
    <w:p>
      <w:pPr>
        <w:keepNext/>
        <w:keepLines/>
        <w:snapToGrid w:val="0"/>
        <w:spacing w:line="360" w:lineRule="auto"/>
        <w:ind w:firstLine="419" w:firstLineChars="174"/>
        <w:outlineLvl w:val="2"/>
        <w:rPr>
          <w:rFonts w:hint="eastAsia" w:ascii="宋体" w:hAnsi="宋体" w:cs="宋体"/>
          <w:b/>
          <w:bCs/>
          <w:kern w:val="44"/>
          <w:sz w:val="24"/>
        </w:rPr>
      </w:pPr>
      <w:r>
        <w:rPr>
          <w:rFonts w:hint="eastAsia" w:ascii="宋体" w:hAnsi="宋体" w:cs="宋体"/>
          <w:b/>
          <w:bCs/>
          <w:kern w:val="44"/>
          <w:sz w:val="24"/>
        </w:rPr>
        <w:t>（二）教学设施</w:t>
      </w:r>
    </w:p>
    <w:p>
      <w:pPr>
        <w:snapToGrid w:val="0"/>
        <w:spacing w:line="440" w:lineRule="exact"/>
        <w:ind w:firstLine="482" w:firstLineChars="200"/>
        <w:rPr>
          <w:rFonts w:ascii="宋体" w:hAnsi="宋体" w:cs="宋体"/>
          <w:b/>
          <w:bCs/>
          <w:sz w:val="24"/>
          <w:szCs w:val="22"/>
        </w:rPr>
      </w:pPr>
      <w:r>
        <w:rPr>
          <w:rFonts w:ascii="宋体" w:hAnsi="宋体" w:cs="宋体"/>
          <w:b/>
          <w:bCs/>
          <w:sz w:val="24"/>
          <w:szCs w:val="22"/>
        </w:rPr>
        <w:t>1.专业教室基本条件</w:t>
      </w:r>
    </w:p>
    <w:p>
      <w:pPr>
        <w:snapToGrid w:val="0"/>
        <w:spacing w:line="440" w:lineRule="exact"/>
        <w:ind w:firstLine="480" w:firstLineChars="200"/>
        <w:rPr>
          <w:rFonts w:ascii="宋体" w:hAnsi="宋体"/>
          <w:bCs/>
          <w:sz w:val="24"/>
        </w:rPr>
      </w:pPr>
      <w:r>
        <w:rPr>
          <w:rFonts w:hint="eastAsia" w:ascii="宋体" w:hAnsi="宋体"/>
          <w:bCs/>
          <w:sz w:val="24"/>
        </w:rPr>
        <w:t>本专业教学设施包括满足正常的课程教学、实习实训所需的专业教室、校内实训室和校外实训基地，基本满足55人一个班规模的日常教学。</w:t>
      </w:r>
    </w:p>
    <w:p>
      <w:pPr>
        <w:snapToGrid w:val="0"/>
        <w:spacing w:line="440" w:lineRule="exact"/>
        <w:ind w:firstLine="482" w:firstLineChars="200"/>
        <w:rPr>
          <w:rFonts w:ascii="宋体" w:hAnsi="宋体"/>
          <w:b/>
          <w:bCs/>
          <w:sz w:val="24"/>
        </w:rPr>
      </w:pPr>
      <w:r>
        <w:rPr>
          <w:rFonts w:hint="eastAsia" w:ascii="宋体" w:hAnsi="宋体"/>
          <w:b/>
          <w:bCs/>
          <w:sz w:val="24"/>
        </w:rPr>
        <w:t>2</w:t>
      </w:r>
      <w:r>
        <w:rPr>
          <w:rFonts w:ascii="宋体" w:hAnsi="宋体"/>
          <w:b/>
          <w:bCs/>
          <w:sz w:val="24"/>
        </w:rPr>
        <w:t>.校内实训基地基本要求</w:t>
      </w:r>
    </w:p>
    <w:p>
      <w:pPr>
        <w:snapToGrid w:val="0"/>
        <w:spacing w:line="440" w:lineRule="exact"/>
        <w:ind w:firstLine="540" w:firstLineChars="225"/>
        <w:rPr>
          <w:rFonts w:ascii="宋体"/>
          <w:bCs/>
          <w:sz w:val="24"/>
        </w:rPr>
      </w:pPr>
      <w:r>
        <w:rPr>
          <w:rFonts w:hint="eastAsia" w:ascii="宋体" w:hAnsi="宋体"/>
          <w:bCs/>
          <w:sz w:val="24"/>
        </w:rPr>
        <w:t>校内实训室以满足专业教学中的应用为出发点，根据城市轨道交通运营管理专业人才培养目标及职业教育教学改革方向确定建设思路，采用校企合作共建共享的运作模式，主要围绕专业核心课程（行车、客运、安全课程）的专业实践能力建设实训教学设施，为学生提供高度仿真、功能完善、符合职业认知规律的实训环境，充分保障城市轨道交通运营管理专业的实践教学、岗位技能培训和职业能力培养。</w:t>
      </w:r>
    </w:p>
    <w:p>
      <w:pPr>
        <w:snapToGrid w:val="0"/>
        <w:spacing w:line="440" w:lineRule="exact"/>
        <w:ind w:firstLine="540" w:firstLineChars="225"/>
        <w:rPr>
          <w:rFonts w:ascii="宋体"/>
          <w:bCs/>
          <w:sz w:val="24"/>
        </w:rPr>
      </w:pPr>
      <w:r>
        <w:rPr>
          <w:rFonts w:hint="eastAsia" w:ascii="宋体" w:hAnsi="宋体"/>
          <w:bCs/>
          <w:sz w:val="24"/>
        </w:rPr>
        <w:t>至少应建有站务实训室、票务实训室、城轨车站模型实训室、维修电工实训室、钳工实训室、形体礼仪实训室、急救与消防设备实训室、笔记本电脑与计算机外设维修实训室、移动通信终端设备维修实训室、网络安全实训室、地铁综合监控系统实训室、自动屏蔽门系统实训室、电梯实训室等。</w:t>
      </w:r>
    </w:p>
    <w:p>
      <w:pPr>
        <w:snapToGrid w:val="0"/>
        <w:spacing w:line="440" w:lineRule="exact"/>
        <w:ind w:firstLine="480" w:firstLineChars="200"/>
        <w:rPr>
          <w:rFonts w:ascii="宋体" w:hAnsi="宋体"/>
          <w:bCs/>
          <w:sz w:val="24"/>
        </w:rPr>
      </w:pPr>
      <w:r>
        <w:rPr>
          <w:rFonts w:hint="eastAsia" w:ascii="宋体" w:hAnsi="宋体"/>
          <w:bCs/>
          <w:sz w:val="24"/>
        </w:rPr>
        <w:t>具体配置要求如下：</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2842"/>
        <w:gridCol w:w="3954"/>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blHeader/>
        </w:trPr>
        <w:tc>
          <w:tcPr>
            <w:tcW w:w="781" w:type="pct"/>
            <w:shd w:val="clear" w:color="auto" w:fill="auto"/>
            <w:vAlign w:val="center"/>
          </w:tcPr>
          <w:p>
            <w:pPr>
              <w:jc w:val="center"/>
              <w:rPr>
                <w:rFonts w:ascii="仿宋_GB2312" w:eastAsia="仿宋_GB2312"/>
                <w:b/>
                <w:sz w:val="24"/>
              </w:rPr>
            </w:pPr>
            <w:r>
              <w:rPr>
                <w:rFonts w:hint="eastAsia" w:ascii="仿宋_GB2312" w:eastAsia="仿宋_GB2312"/>
                <w:b/>
                <w:sz w:val="24"/>
              </w:rPr>
              <w:t>实训类别</w:t>
            </w:r>
          </w:p>
        </w:tc>
        <w:tc>
          <w:tcPr>
            <w:tcW w:w="1485" w:type="pct"/>
            <w:shd w:val="clear" w:color="auto" w:fill="auto"/>
            <w:vAlign w:val="center"/>
          </w:tcPr>
          <w:p>
            <w:pPr>
              <w:jc w:val="center"/>
              <w:rPr>
                <w:rFonts w:ascii="仿宋_GB2312" w:eastAsia="仿宋_GB2312"/>
                <w:b/>
                <w:sz w:val="24"/>
              </w:rPr>
            </w:pPr>
            <w:r>
              <w:rPr>
                <w:rFonts w:hint="eastAsia" w:ascii="仿宋_GB2312" w:eastAsia="仿宋_GB2312"/>
                <w:b/>
                <w:sz w:val="24"/>
              </w:rPr>
              <w:t>实训项目</w:t>
            </w:r>
          </w:p>
        </w:tc>
        <w:tc>
          <w:tcPr>
            <w:tcW w:w="2066" w:type="pct"/>
            <w:shd w:val="clear" w:color="auto" w:fill="auto"/>
            <w:vAlign w:val="center"/>
          </w:tcPr>
          <w:p>
            <w:pPr>
              <w:jc w:val="center"/>
              <w:rPr>
                <w:rFonts w:ascii="仿宋_GB2312" w:eastAsia="仿宋_GB2312"/>
                <w:b/>
                <w:sz w:val="24"/>
              </w:rPr>
            </w:pPr>
            <w:r>
              <w:rPr>
                <w:rFonts w:hint="eastAsia" w:ascii="仿宋_GB2312" w:eastAsia="仿宋_GB2312"/>
                <w:b/>
                <w:sz w:val="24"/>
              </w:rPr>
              <w:t>主要设备名称</w:t>
            </w:r>
          </w:p>
        </w:tc>
        <w:tc>
          <w:tcPr>
            <w:tcW w:w="668" w:type="pct"/>
            <w:shd w:val="clear" w:color="auto" w:fill="auto"/>
            <w:vAlign w:val="center"/>
          </w:tcPr>
          <w:p>
            <w:pPr>
              <w:jc w:val="center"/>
              <w:rPr>
                <w:rFonts w:ascii="仿宋_GB2312" w:eastAsia="仿宋_GB2312"/>
                <w:b/>
                <w:sz w:val="24"/>
              </w:rPr>
            </w:pPr>
            <w:r>
              <w:rPr>
                <w:rFonts w:hint="eastAsia" w:ascii="仿宋_GB2312" w:eastAsia="仿宋_GB2312"/>
                <w:b/>
                <w:sz w:val="24"/>
              </w:rPr>
              <w:t>数量</w:t>
            </w:r>
          </w:p>
          <w:p>
            <w:pPr>
              <w:jc w:val="center"/>
              <w:rPr>
                <w:rFonts w:ascii="仿宋_GB2312" w:eastAsia="仿宋_GB2312"/>
                <w:b/>
                <w:sz w:val="24"/>
              </w:rPr>
            </w:pPr>
            <w:r>
              <w:rPr>
                <w:rFonts w:hint="eastAsia" w:ascii="仿宋_GB2312" w:eastAsia="仿宋_GB2312"/>
                <w:b/>
                <w:sz w:val="24"/>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shd w:val="clear" w:color="auto" w:fill="auto"/>
            <w:vAlign w:val="center"/>
          </w:tcPr>
          <w:p>
            <w:pPr>
              <w:jc w:val="center"/>
              <w:rPr>
                <w:rFonts w:ascii="宋体" w:hAnsi="宋体" w:cs="宋体"/>
                <w:szCs w:val="21"/>
                <w:shd w:val="clear" w:color="auto" w:fill="FFFFFF"/>
                <w:lang w:val="zh-CN"/>
              </w:rPr>
            </w:pPr>
            <w:r>
              <w:rPr>
                <w:rFonts w:hint="eastAsia" w:ascii="宋体" w:hAnsi="宋体" w:cs="宋体"/>
                <w:szCs w:val="21"/>
                <w:shd w:val="clear" w:color="auto" w:fill="FFFFFF"/>
                <w:lang w:val="zh-CN"/>
              </w:rPr>
              <w:t>专业基础技能实训</w:t>
            </w:r>
          </w:p>
        </w:tc>
        <w:tc>
          <w:tcPr>
            <w:tcW w:w="1485" w:type="pct"/>
            <w:shd w:val="clear" w:color="auto" w:fill="auto"/>
            <w:vAlign w:val="center"/>
          </w:tcPr>
          <w:p>
            <w:pPr>
              <w:jc w:val="center"/>
              <w:rPr>
                <w:rFonts w:ascii="宋体" w:hAnsi="宋体" w:cs="宋体"/>
                <w:szCs w:val="21"/>
                <w:shd w:val="clear" w:color="auto" w:fill="FFFFFF"/>
                <w:lang w:val="zh-CN"/>
              </w:rPr>
            </w:pPr>
            <w:r>
              <w:rPr>
                <w:rFonts w:hint="eastAsia" w:ascii="宋体" w:hAnsi="宋体" w:cs="宋体"/>
                <w:szCs w:val="21"/>
                <w:shd w:val="clear" w:color="auto" w:fill="FFFFFF"/>
                <w:lang w:val="zh-CN"/>
              </w:rPr>
              <w:t>工程制图与CAD、机械设计基础等机械基础课程实训</w:t>
            </w:r>
          </w:p>
        </w:tc>
        <w:tc>
          <w:tcPr>
            <w:tcW w:w="2066" w:type="pct"/>
            <w:shd w:val="clear" w:color="auto" w:fill="auto"/>
            <w:vAlign w:val="center"/>
          </w:tcPr>
          <w:p>
            <w:pPr>
              <w:jc w:val="center"/>
              <w:rPr>
                <w:rFonts w:ascii="宋体" w:hAnsi="宋体" w:cs="宋体"/>
                <w:szCs w:val="21"/>
                <w:shd w:val="clear" w:color="auto" w:fill="FFFFFF"/>
                <w:lang w:val="zh-CN"/>
              </w:rPr>
            </w:pPr>
            <w:r>
              <w:rPr>
                <w:rFonts w:hint="eastAsia" w:ascii="宋体" w:hAnsi="宋体" w:cs="宋体"/>
                <w:szCs w:val="21"/>
                <w:shd w:val="clear" w:color="auto" w:fill="FFFFFF"/>
                <w:lang w:val="zh-CN"/>
              </w:rPr>
              <w:t>电脑、画图板、各类减速箱等</w:t>
            </w:r>
          </w:p>
        </w:tc>
        <w:tc>
          <w:tcPr>
            <w:tcW w:w="668" w:type="pct"/>
            <w:shd w:val="clear" w:color="auto" w:fill="auto"/>
            <w:vAlign w:val="center"/>
          </w:tcPr>
          <w:p>
            <w:pPr>
              <w:jc w:val="center"/>
              <w:rPr>
                <w:rFonts w:ascii="宋体" w:hAnsi="宋体" w:cs="宋体"/>
                <w:szCs w:val="21"/>
                <w:shd w:val="clear" w:color="auto" w:fill="FFFFFF"/>
              </w:rPr>
            </w:pPr>
            <w:r>
              <w:rPr>
                <w:rFonts w:ascii="宋体" w:hAnsi="宋体" w:cs="宋体"/>
                <w:szCs w:val="21"/>
                <w:shd w:val="clear" w:color="auto" w:fill="FFFFFF"/>
              </w:rPr>
              <w:t>5</w:t>
            </w:r>
            <w:r>
              <w:rPr>
                <w:rFonts w:hint="eastAsia" w:ascii="宋体" w:hAnsi="宋体" w:cs="宋体"/>
                <w:szCs w:val="21"/>
                <w:shd w:val="clear" w:color="auto" w:fill="FFFFFF"/>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restart"/>
            <w:shd w:val="clear" w:color="auto" w:fill="auto"/>
            <w:vAlign w:val="center"/>
          </w:tcPr>
          <w:p>
            <w:pPr>
              <w:jc w:val="center"/>
              <w:rPr>
                <w:rFonts w:ascii="宋体" w:hAnsi="宋体"/>
                <w:szCs w:val="21"/>
              </w:rPr>
            </w:pPr>
            <w:r>
              <w:rPr>
                <w:rFonts w:hint="eastAsia" w:ascii="宋体" w:hAnsi="宋体"/>
                <w:szCs w:val="21"/>
              </w:rPr>
              <w:t>专业基础技能实训</w:t>
            </w:r>
          </w:p>
        </w:tc>
        <w:tc>
          <w:tcPr>
            <w:tcW w:w="1485" w:type="pct"/>
            <w:vMerge w:val="restart"/>
            <w:shd w:val="clear" w:color="auto" w:fill="auto"/>
            <w:vAlign w:val="center"/>
          </w:tcPr>
          <w:p>
            <w:pPr>
              <w:jc w:val="center"/>
              <w:rPr>
                <w:rFonts w:ascii="宋体" w:hAnsi="宋体"/>
                <w:szCs w:val="21"/>
              </w:rPr>
            </w:pPr>
            <w:r>
              <w:rPr>
                <w:rFonts w:hint="eastAsia" w:ascii="宋体" w:hAnsi="宋体"/>
                <w:szCs w:val="21"/>
              </w:rPr>
              <w:t>急救技术实训</w:t>
            </w:r>
          </w:p>
        </w:tc>
        <w:tc>
          <w:tcPr>
            <w:tcW w:w="2066" w:type="pct"/>
            <w:shd w:val="clear" w:color="auto" w:fill="auto"/>
            <w:vAlign w:val="center"/>
          </w:tcPr>
          <w:p>
            <w:pPr>
              <w:snapToGrid w:val="0"/>
              <w:jc w:val="center"/>
              <w:rPr>
                <w:rFonts w:ascii="宋体" w:hAnsi="宋体"/>
                <w:bCs/>
                <w:szCs w:val="21"/>
              </w:rPr>
            </w:pPr>
            <w:r>
              <w:rPr>
                <w:rFonts w:hint="eastAsia" w:ascii="宋体" w:hAnsi="宋体"/>
                <w:bCs/>
                <w:szCs w:val="21"/>
              </w:rPr>
              <w:t>急救医疗箱</w:t>
            </w:r>
          </w:p>
        </w:tc>
        <w:tc>
          <w:tcPr>
            <w:tcW w:w="668" w:type="pct"/>
            <w:shd w:val="clear" w:color="auto" w:fill="auto"/>
            <w:vAlign w:val="center"/>
          </w:tcPr>
          <w:p>
            <w:pPr>
              <w:snapToGrid w:val="0"/>
              <w:jc w:val="center"/>
              <w:rPr>
                <w:rFonts w:ascii="宋体" w:hAnsi="宋体"/>
                <w:bCs/>
                <w:szCs w:val="21"/>
              </w:rPr>
            </w:pPr>
            <w:r>
              <w:rPr>
                <w:rFonts w:ascii="宋体" w:hAnsi="宋体"/>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shd w:val="clear" w:color="auto" w:fill="auto"/>
            <w:vAlign w:val="center"/>
          </w:tcPr>
          <w:p>
            <w:pPr>
              <w:jc w:val="center"/>
              <w:rPr>
                <w:rFonts w:ascii="宋体" w:hAnsi="宋体"/>
                <w:szCs w:val="21"/>
              </w:rPr>
            </w:pPr>
          </w:p>
        </w:tc>
        <w:tc>
          <w:tcPr>
            <w:tcW w:w="1485" w:type="pct"/>
            <w:vMerge w:val="continue"/>
            <w:shd w:val="clear" w:color="auto" w:fill="auto"/>
            <w:vAlign w:val="center"/>
          </w:tcPr>
          <w:p>
            <w:pPr>
              <w:jc w:val="center"/>
              <w:rPr>
                <w:rFonts w:ascii="宋体" w:hAnsi="宋体"/>
                <w:szCs w:val="21"/>
              </w:rPr>
            </w:pPr>
          </w:p>
        </w:tc>
        <w:tc>
          <w:tcPr>
            <w:tcW w:w="2066" w:type="pct"/>
            <w:shd w:val="clear" w:color="auto" w:fill="auto"/>
            <w:vAlign w:val="center"/>
          </w:tcPr>
          <w:p>
            <w:pPr>
              <w:snapToGrid w:val="0"/>
              <w:jc w:val="center"/>
              <w:rPr>
                <w:rFonts w:ascii="宋体" w:hAnsi="宋体"/>
                <w:bCs/>
                <w:szCs w:val="21"/>
              </w:rPr>
            </w:pPr>
            <w:r>
              <w:rPr>
                <w:rFonts w:hint="eastAsia" w:ascii="宋体" w:hAnsi="宋体"/>
                <w:bCs/>
                <w:szCs w:val="21"/>
              </w:rPr>
              <w:t>救护组件</w:t>
            </w:r>
          </w:p>
        </w:tc>
        <w:tc>
          <w:tcPr>
            <w:tcW w:w="668" w:type="pct"/>
            <w:shd w:val="clear" w:color="auto" w:fill="auto"/>
            <w:vAlign w:val="center"/>
          </w:tcPr>
          <w:p>
            <w:pPr>
              <w:jc w:val="center"/>
              <w:rPr>
                <w:rFonts w:ascii="宋体" w:hAnsi="宋体"/>
                <w:bCs/>
                <w:szCs w:val="21"/>
              </w:rPr>
            </w:pPr>
            <w:r>
              <w:rPr>
                <w:rFonts w:ascii="宋体" w:hAnsi="宋体"/>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restart"/>
            <w:shd w:val="clear" w:color="auto" w:fill="auto"/>
            <w:vAlign w:val="center"/>
          </w:tcPr>
          <w:p>
            <w:pPr>
              <w:jc w:val="center"/>
              <w:rPr>
                <w:rFonts w:ascii="宋体" w:hAnsi="宋体"/>
                <w:szCs w:val="21"/>
              </w:rPr>
            </w:pPr>
            <w:r>
              <w:rPr>
                <w:rFonts w:hint="eastAsia" w:ascii="宋体" w:hAnsi="宋体"/>
                <w:szCs w:val="21"/>
              </w:rPr>
              <w:t>专业核心技能实训</w:t>
            </w:r>
          </w:p>
        </w:tc>
        <w:tc>
          <w:tcPr>
            <w:tcW w:w="1485" w:type="pct"/>
            <w:vMerge w:val="restart"/>
            <w:shd w:val="clear" w:color="auto" w:fill="auto"/>
            <w:vAlign w:val="center"/>
          </w:tcPr>
          <w:p>
            <w:pPr>
              <w:jc w:val="center"/>
              <w:rPr>
                <w:rFonts w:ascii="宋体" w:hAnsi="宋体"/>
                <w:szCs w:val="21"/>
              </w:rPr>
            </w:pPr>
            <w:r>
              <w:rPr>
                <w:rFonts w:hint="eastAsia" w:ascii="宋体" w:hAnsi="宋体"/>
                <w:szCs w:val="21"/>
              </w:rPr>
              <w:t>城轨票务管理实训</w:t>
            </w:r>
          </w:p>
        </w:tc>
        <w:tc>
          <w:tcPr>
            <w:tcW w:w="2066" w:type="pct"/>
            <w:shd w:val="clear" w:color="auto" w:fill="auto"/>
            <w:vAlign w:val="center"/>
          </w:tcPr>
          <w:p>
            <w:pPr>
              <w:jc w:val="center"/>
              <w:rPr>
                <w:rFonts w:ascii="宋体" w:hAnsi="宋体"/>
                <w:szCs w:val="21"/>
              </w:rPr>
            </w:pPr>
            <w:r>
              <w:rPr>
                <w:rFonts w:hint="eastAsia" w:ascii="宋体" w:hAnsi="宋体"/>
                <w:szCs w:val="21"/>
              </w:rPr>
              <w:t>城轨车站售检票系统</w:t>
            </w:r>
          </w:p>
        </w:tc>
        <w:tc>
          <w:tcPr>
            <w:tcW w:w="668" w:type="pct"/>
            <w:shd w:val="clear" w:color="auto" w:fill="auto"/>
            <w:vAlign w:val="center"/>
          </w:tcPr>
          <w:p>
            <w:pPr>
              <w:jc w:val="center"/>
              <w:rPr>
                <w:rFonts w:ascii="宋体" w:hAnsi="宋体"/>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781" w:type="pct"/>
            <w:vMerge w:val="continue"/>
            <w:shd w:val="clear" w:color="auto" w:fill="auto"/>
            <w:vAlign w:val="center"/>
          </w:tcPr>
          <w:p>
            <w:pPr>
              <w:jc w:val="center"/>
              <w:rPr>
                <w:rFonts w:ascii="宋体" w:hAnsi="宋体"/>
                <w:szCs w:val="21"/>
              </w:rPr>
            </w:pPr>
          </w:p>
        </w:tc>
        <w:tc>
          <w:tcPr>
            <w:tcW w:w="1485" w:type="pct"/>
            <w:vMerge w:val="continue"/>
            <w:shd w:val="clear" w:color="auto" w:fill="auto"/>
            <w:vAlign w:val="center"/>
          </w:tcPr>
          <w:p>
            <w:pPr>
              <w:jc w:val="center"/>
              <w:rPr>
                <w:rFonts w:ascii="宋体" w:hAnsi="宋体"/>
                <w:szCs w:val="21"/>
              </w:rPr>
            </w:pPr>
          </w:p>
        </w:tc>
        <w:tc>
          <w:tcPr>
            <w:tcW w:w="2066" w:type="pct"/>
            <w:shd w:val="clear" w:color="auto" w:fill="auto"/>
            <w:vAlign w:val="center"/>
          </w:tcPr>
          <w:p>
            <w:pPr>
              <w:snapToGrid w:val="0"/>
              <w:jc w:val="center"/>
              <w:rPr>
                <w:rFonts w:ascii="宋体" w:hAnsi="宋体"/>
                <w:bCs/>
                <w:szCs w:val="21"/>
              </w:rPr>
            </w:pPr>
            <w:r>
              <w:rPr>
                <w:rFonts w:hint="eastAsia" w:ascii="宋体" w:hAnsi="宋体"/>
                <w:bCs/>
                <w:szCs w:val="21"/>
              </w:rPr>
              <w:t>主机、操作显示器、乘客显示器、车票发售模块、单据打印机、车票读写器和键盘、钱箱、票箱、对话装置、操作台等套件</w:t>
            </w:r>
          </w:p>
        </w:tc>
        <w:tc>
          <w:tcPr>
            <w:tcW w:w="668" w:type="pct"/>
            <w:shd w:val="clear" w:color="auto" w:fill="auto"/>
            <w:vAlign w:val="center"/>
          </w:tcPr>
          <w:p>
            <w:pPr>
              <w:jc w:val="center"/>
              <w:rPr>
                <w:rFonts w:ascii="宋体" w:hAnsi="宋体"/>
                <w:bCs/>
                <w:szCs w:val="21"/>
              </w:rPr>
            </w:pPr>
            <w:r>
              <w:rPr>
                <w:rFonts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restart"/>
            <w:shd w:val="clear" w:color="auto" w:fill="auto"/>
            <w:vAlign w:val="center"/>
          </w:tcPr>
          <w:p>
            <w:pPr>
              <w:jc w:val="center"/>
              <w:rPr>
                <w:rFonts w:ascii="宋体" w:hAnsi="宋体"/>
                <w:szCs w:val="21"/>
              </w:rPr>
            </w:pPr>
            <w:r>
              <w:rPr>
                <w:rFonts w:hint="eastAsia" w:ascii="宋体" w:hAnsi="宋体"/>
                <w:szCs w:val="21"/>
              </w:rPr>
              <w:t>专业核心技能实训</w:t>
            </w:r>
          </w:p>
        </w:tc>
        <w:tc>
          <w:tcPr>
            <w:tcW w:w="1485" w:type="pct"/>
            <w:vMerge w:val="restart"/>
            <w:shd w:val="clear" w:color="auto" w:fill="auto"/>
            <w:vAlign w:val="center"/>
          </w:tcPr>
          <w:p>
            <w:pPr>
              <w:jc w:val="center"/>
              <w:rPr>
                <w:rFonts w:ascii="仿宋_GB2312" w:eastAsia="仿宋_GB2312"/>
                <w:sz w:val="24"/>
              </w:rPr>
            </w:pPr>
            <w:r>
              <w:rPr>
                <w:rFonts w:hint="eastAsia" w:ascii="宋体" w:hAnsi="宋体"/>
                <w:szCs w:val="21"/>
              </w:rPr>
              <w:t>客运礼仪实训</w:t>
            </w:r>
          </w:p>
        </w:tc>
        <w:tc>
          <w:tcPr>
            <w:tcW w:w="2066" w:type="pct"/>
            <w:shd w:val="clear" w:color="auto" w:fill="auto"/>
            <w:vAlign w:val="center"/>
          </w:tcPr>
          <w:p>
            <w:pPr>
              <w:jc w:val="center"/>
              <w:rPr>
                <w:rFonts w:ascii="宋体" w:hAnsi="宋体"/>
                <w:szCs w:val="21"/>
              </w:rPr>
            </w:pPr>
            <w:r>
              <w:rPr>
                <w:rFonts w:hint="eastAsia" w:ascii="宋体" w:hAnsi="宋体"/>
                <w:szCs w:val="21"/>
              </w:rPr>
              <w:t>站务员工装</w:t>
            </w:r>
          </w:p>
        </w:tc>
        <w:tc>
          <w:tcPr>
            <w:tcW w:w="668" w:type="pct"/>
            <w:shd w:val="clear" w:color="auto" w:fill="auto"/>
            <w:vAlign w:val="center"/>
          </w:tcPr>
          <w:p>
            <w:pPr>
              <w:jc w:val="center"/>
              <w:rPr>
                <w:rFonts w:ascii="宋体" w:hAnsi="宋体"/>
                <w:szCs w:val="21"/>
              </w:rPr>
            </w:pPr>
            <w:r>
              <w:rPr>
                <w:rFonts w:ascii="宋体" w:hAnsi="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shd w:val="clear" w:color="auto" w:fill="auto"/>
            <w:vAlign w:val="center"/>
          </w:tcPr>
          <w:p>
            <w:pPr>
              <w:jc w:val="center"/>
              <w:rPr>
                <w:rFonts w:ascii="宋体" w:hAnsi="宋体"/>
                <w:szCs w:val="21"/>
              </w:rPr>
            </w:pPr>
          </w:p>
        </w:tc>
        <w:tc>
          <w:tcPr>
            <w:tcW w:w="1485" w:type="pct"/>
            <w:vMerge w:val="continue"/>
            <w:shd w:val="clear" w:color="auto" w:fill="auto"/>
            <w:vAlign w:val="center"/>
          </w:tcPr>
          <w:p>
            <w:pPr>
              <w:jc w:val="center"/>
              <w:rPr>
                <w:rFonts w:ascii="宋体" w:hAnsi="宋体"/>
                <w:szCs w:val="21"/>
              </w:rPr>
            </w:pPr>
          </w:p>
        </w:tc>
        <w:tc>
          <w:tcPr>
            <w:tcW w:w="2066" w:type="pct"/>
            <w:shd w:val="clear" w:color="auto" w:fill="auto"/>
            <w:vAlign w:val="center"/>
          </w:tcPr>
          <w:p>
            <w:pPr>
              <w:snapToGrid w:val="0"/>
              <w:jc w:val="center"/>
              <w:rPr>
                <w:rFonts w:ascii="宋体" w:hAnsi="宋体"/>
                <w:bCs/>
                <w:szCs w:val="21"/>
              </w:rPr>
            </w:pPr>
            <w:r>
              <w:rPr>
                <w:rFonts w:hint="eastAsia" w:ascii="宋体" w:hAnsi="宋体"/>
                <w:kern w:val="0"/>
              </w:rPr>
              <w:t>扶杆把手</w:t>
            </w:r>
          </w:p>
        </w:tc>
        <w:tc>
          <w:tcPr>
            <w:tcW w:w="668" w:type="pct"/>
            <w:shd w:val="clear" w:color="auto" w:fill="auto"/>
            <w:vAlign w:val="center"/>
          </w:tcPr>
          <w:p>
            <w:pPr>
              <w:jc w:val="center"/>
              <w:rPr>
                <w:rFonts w:ascii="宋体" w:hAnsi="宋体"/>
                <w:bCs/>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shd w:val="clear" w:color="auto" w:fill="auto"/>
            <w:vAlign w:val="center"/>
          </w:tcPr>
          <w:p>
            <w:pPr>
              <w:jc w:val="center"/>
              <w:rPr>
                <w:rFonts w:ascii="宋体" w:hAnsi="宋体"/>
                <w:szCs w:val="21"/>
              </w:rPr>
            </w:pPr>
          </w:p>
        </w:tc>
        <w:tc>
          <w:tcPr>
            <w:tcW w:w="1485" w:type="pct"/>
            <w:vMerge w:val="continue"/>
            <w:shd w:val="clear" w:color="auto" w:fill="auto"/>
            <w:vAlign w:val="center"/>
          </w:tcPr>
          <w:p>
            <w:pPr>
              <w:jc w:val="center"/>
              <w:rPr>
                <w:rFonts w:ascii="宋体" w:hAnsi="宋体"/>
                <w:szCs w:val="21"/>
              </w:rPr>
            </w:pPr>
          </w:p>
        </w:tc>
        <w:tc>
          <w:tcPr>
            <w:tcW w:w="2066" w:type="pct"/>
            <w:shd w:val="clear" w:color="auto" w:fill="auto"/>
            <w:vAlign w:val="center"/>
          </w:tcPr>
          <w:p>
            <w:pPr>
              <w:snapToGrid w:val="0"/>
              <w:jc w:val="center"/>
              <w:rPr>
                <w:rFonts w:ascii="宋体" w:hAnsi="宋体"/>
                <w:bCs/>
                <w:szCs w:val="21"/>
              </w:rPr>
            </w:pPr>
            <w:r>
              <w:rPr>
                <w:rFonts w:hint="eastAsia" w:ascii="宋体" w:hAnsi="宋体"/>
                <w:szCs w:val="21"/>
              </w:rPr>
              <w:t>多媒体设备</w:t>
            </w:r>
          </w:p>
        </w:tc>
        <w:tc>
          <w:tcPr>
            <w:tcW w:w="668" w:type="pct"/>
            <w:shd w:val="clear" w:color="auto" w:fill="auto"/>
            <w:vAlign w:val="center"/>
          </w:tcPr>
          <w:p>
            <w:pPr>
              <w:jc w:val="center"/>
              <w:rPr>
                <w:rFonts w:ascii="宋体" w:hAnsi="宋体"/>
                <w:bCs/>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shd w:val="clear" w:color="auto" w:fill="auto"/>
            <w:vAlign w:val="center"/>
          </w:tcPr>
          <w:p>
            <w:pPr>
              <w:jc w:val="center"/>
              <w:rPr>
                <w:rFonts w:ascii="宋体" w:hAnsi="宋体"/>
                <w:szCs w:val="21"/>
              </w:rPr>
            </w:pPr>
          </w:p>
        </w:tc>
        <w:tc>
          <w:tcPr>
            <w:tcW w:w="1485" w:type="pct"/>
            <w:vMerge w:val="continue"/>
            <w:shd w:val="clear" w:color="auto" w:fill="auto"/>
            <w:vAlign w:val="center"/>
          </w:tcPr>
          <w:p>
            <w:pPr>
              <w:jc w:val="center"/>
              <w:rPr>
                <w:rFonts w:ascii="宋体" w:hAnsi="宋体"/>
                <w:szCs w:val="21"/>
              </w:rPr>
            </w:pPr>
          </w:p>
        </w:tc>
        <w:tc>
          <w:tcPr>
            <w:tcW w:w="2066" w:type="pct"/>
            <w:shd w:val="clear" w:color="auto" w:fill="auto"/>
            <w:vAlign w:val="center"/>
          </w:tcPr>
          <w:p>
            <w:pPr>
              <w:snapToGrid w:val="0"/>
              <w:jc w:val="center"/>
              <w:rPr>
                <w:rFonts w:ascii="宋体" w:hAnsi="宋体"/>
                <w:bCs/>
                <w:szCs w:val="21"/>
              </w:rPr>
            </w:pPr>
            <w:r>
              <w:rPr>
                <w:rFonts w:hint="eastAsia" w:ascii="宋体" w:hAnsi="宋体"/>
                <w:kern w:val="0"/>
              </w:rPr>
              <w:t>镜面墙</w:t>
            </w:r>
          </w:p>
        </w:tc>
        <w:tc>
          <w:tcPr>
            <w:tcW w:w="668" w:type="pct"/>
            <w:shd w:val="clear" w:color="auto" w:fill="auto"/>
            <w:vAlign w:val="center"/>
          </w:tcPr>
          <w:p>
            <w:pPr>
              <w:jc w:val="center"/>
              <w:rPr>
                <w:rFonts w:ascii="宋体" w:hAnsi="宋体"/>
                <w:bCs/>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restart"/>
            <w:shd w:val="clear" w:color="auto" w:fill="auto"/>
            <w:vAlign w:val="center"/>
          </w:tcPr>
          <w:p>
            <w:pPr>
              <w:jc w:val="center"/>
              <w:rPr>
                <w:rFonts w:ascii="宋体" w:hAnsi="宋体"/>
                <w:szCs w:val="21"/>
              </w:rPr>
            </w:pPr>
            <w:r>
              <w:rPr>
                <w:rFonts w:hint="eastAsia" w:ascii="宋体" w:hAnsi="宋体" w:cs="宋体"/>
                <w:szCs w:val="21"/>
              </w:rPr>
              <w:t>专业核心技能实训</w:t>
            </w:r>
          </w:p>
        </w:tc>
        <w:tc>
          <w:tcPr>
            <w:tcW w:w="1485" w:type="pct"/>
            <w:vMerge w:val="restart"/>
            <w:shd w:val="clear" w:color="auto" w:fill="auto"/>
            <w:vAlign w:val="center"/>
          </w:tcPr>
          <w:p>
            <w:pPr>
              <w:jc w:val="center"/>
              <w:rPr>
                <w:rFonts w:ascii="仿宋_GB2312" w:eastAsia="仿宋_GB2312"/>
                <w:sz w:val="24"/>
              </w:rPr>
            </w:pPr>
            <w:r>
              <w:rPr>
                <w:rFonts w:hint="eastAsia" w:ascii="宋体" w:hAnsi="宋体" w:cs="宋体"/>
                <w:szCs w:val="21"/>
              </w:rPr>
              <w:t>城市轨道交通站务实训</w:t>
            </w:r>
          </w:p>
        </w:tc>
        <w:tc>
          <w:tcPr>
            <w:tcW w:w="2066" w:type="pct"/>
            <w:shd w:val="clear" w:color="auto" w:fill="auto"/>
            <w:vAlign w:val="center"/>
          </w:tcPr>
          <w:p>
            <w:pPr>
              <w:jc w:val="center"/>
              <w:rPr>
                <w:rFonts w:ascii="宋体" w:hAnsi="宋体"/>
                <w:szCs w:val="21"/>
              </w:rPr>
            </w:pPr>
            <w:r>
              <w:rPr>
                <w:rFonts w:hint="eastAsia" w:ascii="宋体" w:hAnsi="宋体"/>
                <w:szCs w:val="21"/>
              </w:rPr>
              <w:t>站务员工装</w:t>
            </w:r>
          </w:p>
        </w:tc>
        <w:tc>
          <w:tcPr>
            <w:tcW w:w="668" w:type="pct"/>
            <w:shd w:val="clear" w:color="auto" w:fill="auto"/>
            <w:vAlign w:val="center"/>
          </w:tcPr>
          <w:p>
            <w:pPr>
              <w:jc w:val="center"/>
              <w:rPr>
                <w:rFonts w:ascii="宋体" w:hAnsi="宋体"/>
                <w:szCs w:val="21"/>
              </w:rPr>
            </w:pPr>
            <w:r>
              <w:rPr>
                <w:rFonts w:ascii="宋体" w:hAnsi="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shd w:val="clear" w:color="auto" w:fill="auto"/>
            <w:vAlign w:val="center"/>
          </w:tcPr>
          <w:p>
            <w:pPr>
              <w:jc w:val="center"/>
              <w:rPr>
                <w:rFonts w:ascii="宋体" w:hAnsi="宋体"/>
                <w:szCs w:val="21"/>
              </w:rPr>
            </w:pPr>
          </w:p>
        </w:tc>
        <w:tc>
          <w:tcPr>
            <w:tcW w:w="1485" w:type="pct"/>
            <w:vMerge w:val="continue"/>
            <w:shd w:val="clear" w:color="auto" w:fill="auto"/>
            <w:vAlign w:val="center"/>
          </w:tcPr>
          <w:p>
            <w:pPr>
              <w:jc w:val="center"/>
              <w:rPr>
                <w:rFonts w:ascii="宋体" w:hAnsi="宋体"/>
                <w:szCs w:val="21"/>
              </w:rPr>
            </w:pPr>
          </w:p>
        </w:tc>
        <w:tc>
          <w:tcPr>
            <w:tcW w:w="2066" w:type="pct"/>
            <w:shd w:val="clear" w:color="auto" w:fill="auto"/>
            <w:vAlign w:val="center"/>
          </w:tcPr>
          <w:p>
            <w:pPr>
              <w:snapToGrid w:val="0"/>
              <w:jc w:val="center"/>
              <w:rPr>
                <w:rFonts w:ascii="宋体" w:hAnsi="宋体"/>
                <w:bCs/>
                <w:szCs w:val="21"/>
              </w:rPr>
            </w:pPr>
            <w:r>
              <w:rPr>
                <w:rFonts w:hint="eastAsia" w:ascii="宋体" w:hAnsi="宋体"/>
                <w:szCs w:val="21"/>
              </w:rPr>
              <w:t>自动售票机</w:t>
            </w:r>
          </w:p>
        </w:tc>
        <w:tc>
          <w:tcPr>
            <w:tcW w:w="668" w:type="pct"/>
            <w:shd w:val="clear" w:color="auto" w:fill="auto"/>
            <w:vAlign w:val="center"/>
          </w:tcPr>
          <w:p>
            <w:pPr>
              <w:jc w:val="center"/>
              <w:rPr>
                <w:rFonts w:ascii="宋体" w:hAnsi="宋体"/>
                <w:bCs/>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shd w:val="clear" w:color="auto" w:fill="auto"/>
            <w:vAlign w:val="center"/>
          </w:tcPr>
          <w:p>
            <w:pPr>
              <w:jc w:val="center"/>
              <w:rPr>
                <w:rFonts w:ascii="宋体" w:hAnsi="宋体"/>
                <w:szCs w:val="21"/>
              </w:rPr>
            </w:pPr>
          </w:p>
        </w:tc>
        <w:tc>
          <w:tcPr>
            <w:tcW w:w="1485" w:type="pct"/>
            <w:vMerge w:val="continue"/>
            <w:shd w:val="clear" w:color="auto" w:fill="auto"/>
            <w:vAlign w:val="center"/>
          </w:tcPr>
          <w:p>
            <w:pPr>
              <w:jc w:val="center"/>
              <w:rPr>
                <w:rFonts w:ascii="宋体" w:hAnsi="宋体"/>
                <w:szCs w:val="21"/>
              </w:rPr>
            </w:pPr>
          </w:p>
        </w:tc>
        <w:tc>
          <w:tcPr>
            <w:tcW w:w="2066" w:type="pct"/>
            <w:shd w:val="clear" w:color="auto" w:fill="auto"/>
            <w:vAlign w:val="center"/>
          </w:tcPr>
          <w:p>
            <w:pPr>
              <w:snapToGrid w:val="0"/>
              <w:jc w:val="center"/>
              <w:rPr>
                <w:rFonts w:ascii="宋体" w:hAnsi="宋体"/>
                <w:bCs/>
                <w:szCs w:val="21"/>
              </w:rPr>
            </w:pPr>
            <w:r>
              <w:rPr>
                <w:rFonts w:hint="eastAsia" w:ascii="宋体" w:hAnsi="宋体"/>
                <w:szCs w:val="21"/>
              </w:rPr>
              <w:t>客服中心</w:t>
            </w:r>
          </w:p>
        </w:tc>
        <w:tc>
          <w:tcPr>
            <w:tcW w:w="668" w:type="pct"/>
            <w:shd w:val="clear" w:color="auto" w:fill="auto"/>
            <w:vAlign w:val="center"/>
          </w:tcPr>
          <w:p>
            <w:pPr>
              <w:jc w:val="center"/>
              <w:rPr>
                <w:rFonts w:ascii="宋体" w:hAnsi="宋体"/>
                <w:bCs/>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shd w:val="clear" w:color="auto" w:fill="auto"/>
            <w:vAlign w:val="center"/>
          </w:tcPr>
          <w:p>
            <w:pPr>
              <w:jc w:val="center"/>
              <w:rPr>
                <w:rFonts w:ascii="宋体" w:hAnsi="宋体"/>
                <w:szCs w:val="21"/>
              </w:rPr>
            </w:pPr>
          </w:p>
        </w:tc>
        <w:tc>
          <w:tcPr>
            <w:tcW w:w="1485" w:type="pct"/>
            <w:vMerge w:val="continue"/>
            <w:shd w:val="clear" w:color="auto" w:fill="auto"/>
            <w:vAlign w:val="center"/>
          </w:tcPr>
          <w:p>
            <w:pPr>
              <w:jc w:val="center"/>
              <w:rPr>
                <w:rFonts w:ascii="宋体" w:hAnsi="宋体"/>
                <w:szCs w:val="21"/>
              </w:rPr>
            </w:pPr>
          </w:p>
        </w:tc>
        <w:tc>
          <w:tcPr>
            <w:tcW w:w="2066" w:type="pct"/>
            <w:shd w:val="clear" w:color="auto" w:fill="auto"/>
            <w:vAlign w:val="center"/>
          </w:tcPr>
          <w:p>
            <w:pPr>
              <w:snapToGrid w:val="0"/>
              <w:jc w:val="center"/>
              <w:rPr>
                <w:rFonts w:ascii="宋体" w:hAnsi="宋体"/>
                <w:bCs/>
                <w:szCs w:val="21"/>
              </w:rPr>
            </w:pPr>
            <w:r>
              <w:rPr>
                <w:rFonts w:hint="eastAsia" w:ascii="宋体" w:hAnsi="宋体"/>
                <w:szCs w:val="21"/>
              </w:rPr>
              <w:t>安检装置</w:t>
            </w:r>
          </w:p>
        </w:tc>
        <w:tc>
          <w:tcPr>
            <w:tcW w:w="668" w:type="pct"/>
            <w:shd w:val="clear" w:color="auto" w:fill="auto"/>
            <w:vAlign w:val="center"/>
          </w:tcPr>
          <w:p>
            <w:pPr>
              <w:jc w:val="center"/>
              <w:rPr>
                <w:rFonts w:ascii="宋体" w:hAnsi="宋体"/>
                <w:bCs/>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shd w:val="clear" w:color="auto" w:fill="auto"/>
            <w:vAlign w:val="center"/>
          </w:tcPr>
          <w:p>
            <w:pPr>
              <w:jc w:val="center"/>
              <w:rPr>
                <w:rFonts w:ascii="宋体" w:hAnsi="宋体"/>
                <w:szCs w:val="21"/>
              </w:rPr>
            </w:pPr>
          </w:p>
        </w:tc>
        <w:tc>
          <w:tcPr>
            <w:tcW w:w="1485" w:type="pct"/>
            <w:vMerge w:val="continue"/>
            <w:shd w:val="clear" w:color="auto" w:fill="auto"/>
            <w:vAlign w:val="center"/>
          </w:tcPr>
          <w:p>
            <w:pPr>
              <w:jc w:val="center"/>
              <w:rPr>
                <w:rFonts w:ascii="宋体" w:hAnsi="宋体"/>
                <w:szCs w:val="21"/>
              </w:rPr>
            </w:pPr>
          </w:p>
        </w:tc>
        <w:tc>
          <w:tcPr>
            <w:tcW w:w="2066" w:type="pct"/>
            <w:shd w:val="clear" w:color="auto" w:fill="auto"/>
            <w:vAlign w:val="center"/>
          </w:tcPr>
          <w:p>
            <w:pPr>
              <w:snapToGrid w:val="0"/>
              <w:jc w:val="center"/>
              <w:rPr>
                <w:rFonts w:ascii="宋体" w:hAnsi="宋体"/>
                <w:bCs/>
                <w:szCs w:val="21"/>
              </w:rPr>
            </w:pPr>
            <w:r>
              <w:rPr>
                <w:rFonts w:hint="eastAsia" w:ascii="宋体" w:hAnsi="宋体"/>
                <w:szCs w:val="21"/>
              </w:rPr>
              <w:t>进站检票系统</w:t>
            </w:r>
          </w:p>
        </w:tc>
        <w:tc>
          <w:tcPr>
            <w:tcW w:w="668" w:type="pct"/>
            <w:shd w:val="clear" w:color="auto" w:fill="auto"/>
            <w:vAlign w:val="center"/>
          </w:tcPr>
          <w:p>
            <w:pPr>
              <w:jc w:val="center"/>
              <w:rPr>
                <w:rFonts w:ascii="宋体" w:hAnsi="宋体"/>
                <w:bCs/>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shd w:val="clear" w:color="auto" w:fill="auto"/>
            <w:vAlign w:val="center"/>
          </w:tcPr>
          <w:p>
            <w:pPr>
              <w:jc w:val="center"/>
              <w:rPr>
                <w:rFonts w:ascii="宋体" w:hAnsi="宋体"/>
                <w:szCs w:val="21"/>
              </w:rPr>
            </w:pPr>
          </w:p>
        </w:tc>
        <w:tc>
          <w:tcPr>
            <w:tcW w:w="1485" w:type="pct"/>
            <w:vMerge w:val="continue"/>
            <w:shd w:val="clear" w:color="auto" w:fill="auto"/>
            <w:vAlign w:val="center"/>
          </w:tcPr>
          <w:p>
            <w:pPr>
              <w:jc w:val="center"/>
              <w:rPr>
                <w:rFonts w:ascii="宋体" w:hAnsi="宋体"/>
                <w:szCs w:val="21"/>
              </w:rPr>
            </w:pPr>
          </w:p>
        </w:tc>
        <w:tc>
          <w:tcPr>
            <w:tcW w:w="2066" w:type="pct"/>
            <w:shd w:val="clear" w:color="auto" w:fill="auto"/>
            <w:vAlign w:val="center"/>
          </w:tcPr>
          <w:p>
            <w:pPr>
              <w:jc w:val="center"/>
              <w:rPr>
                <w:rFonts w:ascii="宋体" w:hAnsi="宋体"/>
                <w:bCs/>
                <w:szCs w:val="21"/>
              </w:rPr>
            </w:pPr>
            <w:r>
              <w:rPr>
                <w:rFonts w:hint="eastAsia" w:ascii="宋体" w:hAnsi="宋体"/>
                <w:bCs/>
                <w:szCs w:val="21"/>
              </w:rPr>
              <w:t>电脑</w:t>
            </w:r>
          </w:p>
        </w:tc>
        <w:tc>
          <w:tcPr>
            <w:tcW w:w="668" w:type="pct"/>
            <w:shd w:val="clear" w:color="auto" w:fill="auto"/>
            <w:vAlign w:val="center"/>
          </w:tcPr>
          <w:p>
            <w:pPr>
              <w:jc w:val="center"/>
              <w:rPr>
                <w:rFonts w:ascii="宋体" w:hAnsi="宋体"/>
                <w:bCs/>
                <w:szCs w:val="21"/>
              </w:rPr>
            </w:pPr>
            <w:r>
              <w:rPr>
                <w:rFonts w:ascii="宋体" w:hAnsi="宋体"/>
                <w:szCs w:val="21"/>
              </w:rPr>
              <w:t>5</w:t>
            </w: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shd w:val="clear" w:color="auto" w:fill="auto"/>
            <w:vAlign w:val="center"/>
          </w:tcPr>
          <w:p>
            <w:pPr>
              <w:jc w:val="center"/>
              <w:rPr>
                <w:rFonts w:ascii="宋体" w:hAnsi="宋体"/>
                <w:szCs w:val="21"/>
              </w:rPr>
            </w:pPr>
          </w:p>
        </w:tc>
        <w:tc>
          <w:tcPr>
            <w:tcW w:w="1485" w:type="pct"/>
            <w:vMerge w:val="continue"/>
            <w:shd w:val="clear" w:color="auto" w:fill="auto"/>
            <w:vAlign w:val="center"/>
          </w:tcPr>
          <w:p>
            <w:pPr>
              <w:jc w:val="center"/>
              <w:rPr>
                <w:rFonts w:ascii="宋体" w:hAnsi="宋体"/>
                <w:szCs w:val="21"/>
              </w:rPr>
            </w:pPr>
          </w:p>
        </w:tc>
        <w:tc>
          <w:tcPr>
            <w:tcW w:w="2066" w:type="pct"/>
            <w:shd w:val="clear" w:color="auto" w:fill="auto"/>
            <w:vAlign w:val="center"/>
          </w:tcPr>
          <w:p>
            <w:pPr>
              <w:jc w:val="center"/>
              <w:rPr>
                <w:rFonts w:ascii="宋体" w:hAnsi="宋体"/>
                <w:bCs/>
                <w:szCs w:val="21"/>
              </w:rPr>
            </w:pPr>
            <w:r>
              <w:rPr>
                <w:rFonts w:hint="eastAsia" w:ascii="宋体" w:hAnsi="宋体"/>
                <w:bCs/>
                <w:szCs w:val="21"/>
              </w:rPr>
              <w:t>三维车站与应急演练虚拟仿真系统</w:t>
            </w:r>
          </w:p>
        </w:tc>
        <w:tc>
          <w:tcPr>
            <w:tcW w:w="668" w:type="pct"/>
            <w:shd w:val="clear" w:color="auto" w:fill="auto"/>
            <w:vAlign w:val="center"/>
          </w:tcPr>
          <w:p>
            <w:pPr>
              <w:jc w:val="center"/>
              <w:rPr>
                <w:rFonts w:ascii="宋体" w:hAnsi="宋体"/>
                <w:bCs/>
                <w:szCs w:val="21"/>
              </w:rPr>
            </w:pPr>
            <w:r>
              <w:rPr>
                <w:rFonts w:ascii="宋体" w:hAnsi="宋体"/>
                <w:szCs w:val="21"/>
              </w:rPr>
              <w:t>5</w:t>
            </w: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shd w:val="clear" w:color="auto" w:fill="auto"/>
            <w:vAlign w:val="center"/>
          </w:tcPr>
          <w:p>
            <w:pPr>
              <w:jc w:val="center"/>
              <w:rPr>
                <w:rFonts w:ascii="宋体" w:hAnsi="宋体"/>
                <w:szCs w:val="21"/>
              </w:rPr>
            </w:pPr>
          </w:p>
        </w:tc>
        <w:tc>
          <w:tcPr>
            <w:tcW w:w="1485" w:type="pct"/>
            <w:vMerge w:val="continue"/>
            <w:shd w:val="clear" w:color="auto" w:fill="auto"/>
            <w:vAlign w:val="center"/>
          </w:tcPr>
          <w:p>
            <w:pPr>
              <w:jc w:val="center"/>
              <w:rPr>
                <w:rFonts w:ascii="宋体" w:hAnsi="宋体"/>
                <w:szCs w:val="21"/>
              </w:rPr>
            </w:pPr>
          </w:p>
        </w:tc>
        <w:tc>
          <w:tcPr>
            <w:tcW w:w="2066" w:type="pct"/>
            <w:shd w:val="clear" w:color="auto" w:fill="auto"/>
            <w:vAlign w:val="center"/>
          </w:tcPr>
          <w:p>
            <w:pPr>
              <w:jc w:val="center"/>
              <w:rPr>
                <w:rFonts w:ascii="宋体" w:hAnsi="宋体"/>
                <w:bCs/>
                <w:szCs w:val="21"/>
              </w:rPr>
            </w:pPr>
            <w:r>
              <w:rPr>
                <w:rFonts w:hint="eastAsia" w:ascii="宋体" w:hAnsi="宋体"/>
                <w:bCs/>
                <w:szCs w:val="21"/>
              </w:rPr>
              <w:t>电子沙盘虚拟仿真系统</w:t>
            </w:r>
          </w:p>
        </w:tc>
        <w:tc>
          <w:tcPr>
            <w:tcW w:w="668" w:type="pct"/>
            <w:shd w:val="clear" w:color="auto" w:fill="auto"/>
            <w:vAlign w:val="center"/>
          </w:tcPr>
          <w:p>
            <w:pPr>
              <w:jc w:val="center"/>
              <w:rPr>
                <w:rFonts w:ascii="宋体" w:hAnsi="宋体"/>
                <w:bCs/>
                <w:szCs w:val="21"/>
              </w:rPr>
            </w:pPr>
            <w:r>
              <w:rPr>
                <w:rFonts w:ascii="宋体" w:hAnsi="宋体"/>
                <w:szCs w:val="21"/>
              </w:rPr>
              <w:t>5</w:t>
            </w: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shd w:val="clear" w:color="auto" w:fill="auto"/>
            <w:vAlign w:val="center"/>
          </w:tcPr>
          <w:p>
            <w:pPr>
              <w:jc w:val="center"/>
              <w:rPr>
                <w:rFonts w:ascii="宋体" w:hAnsi="宋体"/>
                <w:szCs w:val="21"/>
              </w:rPr>
            </w:pPr>
          </w:p>
        </w:tc>
        <w:tc>
          <w:tcPr>
            <w:tcW w:w="1485" w:type="pct"/>
            <w:vMerge w:val="continue"/>
            <w:shd w:val="clear" w:color="auto" w:fill="auto"/>
            <w:vAlign w:val="center"/>
          </w:tcPr>
          <w:p>
            <w:pPr>
              <w:jc w:val="center"/>
              <w:rPr>
                <w:rFonts w:ascii="宋体" w:hAnsi="宋体"/>
                <w:szCs w:val="21"/>
              </w:rPr>
            </w:pPr>
          </w:p>
        </w:tc>
        <w:tc>
          <w:tcPr>
            <w:tcW w:w="2066" w:type="pct"/>
            <w:shd w:val="clear" w:color="auto" w:fill="auto"/>
            <w:vAlign w:val="center"/>
          </w:tcPr>
          <w:p>
            <w:pPr>
              <w:jc w:val="center"/>
              <w:rPr>
                <w:rFonts w:ascii="宋体" w:hAnsi="宋体"/>
                <w:bCs/>
                <w:szCs w:val="21"/>
              </w:rPr>
            </w:pPr>
            <w:r>
              <w:rPr>
                <w:rFonts w:hint="eastAsia" w:ascii="宋体" w:hAnsi="宋体"/>
                <w:bCs/>
                <w:szCs w:val="21"/>
              </w:rPr>
              <w:t>教学管理系统</w:t>
            </w:r>
          </w:p>
        </w:tc>
        <w:tc>
          <w:tcPr>
            <w:tcW w:w="668" w:type="pct"/>
            <w:shd w:val="clear" w:color="auto" w:fill="auto"/>
            <w:vAlign w:val="center"/>
          </w:tcPr>
          <w:p>
            <w:pPr>
              <w:jc w:val="center"/>
              <w:rPr>
                <w:rFonts w:ascii="宋体" w:hAnsi="宋体"/>
                <w:bCs/>
                <w:szCs w:val="21"/>
              </w:rPr>
            </w:pPr>
            <w:r>
              <w:rPr>
                <w:rFonts w:ascii="宋体" w:hAnsi="宋体"/>
                <w:szCs w:val="21"/>
              </w:rPr>
              <w:t>5</w:t>
            </w: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shd w:val="clear" w:color="auto" w:fill="auto"/>
            <w:vAlign w:val="center"/>
          </w:tcPr>
          <w:p>
            <w:pPr>
              <w:jc w:val="center"/>
              <w:rPr>
                <w:rFonts w:ascii="宋体" w:hAnsi="宋体"/>
                <w:szCs w:val="21"/>
              </w:rPr>
            </w:pPr>
          </w:p>
        </w:tc>
        <w:tc>
          <w:tcPr>
            <w:tcW w:w="1485" w:type="pct"/>
            <w:vMerge w:val="continue"/>
            <w:shd w:val="clear" w:color="auto" w:fill="auto"/>
            <w:vAlign w:val="center"/>
          </w:tcPr>
          <w:p>
            <w:pPr>
              <w:jc w:val="center"/>
              <w:rPr>
                <w:rFonts w:ascii="宋体" w:hAnsi="宋体"/>
                <w:szCs w:val="21"/>
              </w:rPr>
            </w:pPr>
          </w:p>
        </w:tc>
        <w:tc>
          <w:tcPr>
            <w:tcW w:w="2066" w:type="pct"/>
            <w:shd w:val="clear" w:color="auto" w:fill="auto"/>
            <w:vAlign w:val="center"/>
          </w:tcPr>
          <w:p>
            <w:pPr>
              <w:jc w:val="center"/>
              <w:rPr>
                <w:rFonts w:ascii="仿宋_GB2312" w:eastAsia="仿宋_GB2312"/>
                <w:b/>
                <w:sz w:val="24"/>
              </w:rPr>
            </w:pPr>
            <w:r>
              <w:rPr>
                <w:rFonts w:hint="eastAsia" w:ascii="宋体" w:hAnsi="宋体"/>
                <w:szCs w:val="21"/>
              </w:rPr>
              <w:t>车站应急演练考核系统</w:t>
            </w:r>
          </w:p>
        </w:tc>
        <w:tc>
          <w:tcPr>
            <w:tcW w:w="668" w:type="pct"/>
            <w:shd w:val="clear" w:color="auto" w:fill="auto"/>
            <w:vAlign w:val="center"/>
          </w:tcPr>
          <w:p>
            <w:pPr>
              <w:jc w:val="center"/>
              <w:rPr>
                <w:rFonts w:ascii="仿宋_GB2312" w:eastAsia="仿宋_GB2312"/>
                <w:b/>
                <w:sz w:val="24"/>
              </w:rPr>
            </w:pPr>
            <w:r>
              <w:rPr>
                <w:rFonts w:ascii="宋体" w:hAnsi="宋体"/>
                <w:szCs w:val="21"/>
              </w:rPr>
              <w:t>5</w:t>
            </w: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shd w:val="clear" w:color="auto" w:fill="auto"/>
            <w:vAlign w:val="center"/>
          </w:tcPr>
          <w:p>
            <w:pPr>
              <w:jc w:val="center"/>
              <w:rPr>
                <w:rFonts w:ascii="宋体" w:hAnsi="宋体"/>
                <w:szCs w:val="21"/>
              </w:rPr>
            </w:pPr>
          </w:p>
        </w:tc>
        <w:tc>
          <w:tcPr>
            <w:tcW w:w="1485" w:type="pct"/>
            <w:vMerge w:val="continue"/>
            <w:shd w:val="clear" w:color="auto" w:fill="auto"/>
            <w:vAlign w:val="center"/>
          </w:tcPr>
          <w:p>
            <w:pPr>
              <w:jc w:val="center"/>
              <w:rPr>
                <w:rFonts w:ascii="宋体" w:hAnsi="宋体"/>
                <w:szCs w:val="21"/>
              </w:rPr>
            </w:pPr>
          </w:p>
        </w:tc>
        <w:tc>
          <w:tcPr>
            <w:tcW w:w="2066" w:type="pct"/>
            <w:shd w:val="clear" w:color="auto" w:fill="auto"/>
            <w:vAlign w:val="center"/>
          </w:tcPr>
          <w:p>
            <w:pPr>
              <w:jc w:val="center"/>
              <w:rPr>
                <w:rFonts w:ascii="仿宋_GB2312" w:eastAsia="仿宋_GB2312"/>
                <w:b/>
                <w:sz w:val="24"/>
              </w:rPr>
            </w:pPr>
            <w:r>
              <w:rPr>
                <w:rFonts w:hint="eastAsia" w:ascii="宋体" w:hAnsi="宋体"/>
                <w:szCs w:val="21"/>
              </w:rPr>
              <w:t>综合监控管理与考核系统</w:t>
            </w:r>
          </w:p>
        </w:tc>
        <w:tc>
          <w:tcPr>
            <w:tcW w:w="668" w:type="pct"/>
            <w:shd w:val="clear" w:color="auto" w:fill="auto"/>
            <w:vAlign w:val="center"/>
          </w:tcPr>
          <w:p>
            <w:pPr>
              <w:jc w:val="center"/>
              <w:rPr>
                <w:rFonts w:ascii="仿宋_GB2312" w:eastAsia="仿宋_GB2312"/>
                <w:b/>
                <w:sz w:val="24"/>
              </w:rPr>
            </w:pPr>
            <w:r>
              <w:rPr>
                <w:rFonts w:ascii="宋体" w:hAnsi="宋体"/>
                <w:szCs w:val="21"/>
              </w:rPr>
              <w:t>5</w:t>
            </w: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restart"/>
            <w:shd w:val="clear" w:color="auto" w:fill="auto"/>
            <w:vAlign w:val="center"/>
          </w:tcPr>
          <w:p>
            <w:pPr>
              <w:jc w:val="center"/>
              <w:rPr>
                <w:rFonts w:ascii="宋体" w:hAnsi="宋体"/>
                <w:szCs w:val="21"/>
              </w:rPr>
            </w:pPr>
            <w:r>
              <w:rPr>
                <w:rFonts w:hint="eastAsia" w:ascii="宋体" w:hAnsi="宋体"/>
                <w:szCs w:val="21"/>
              </w:rPr>
              <w:t>专业核心技能实训</w:t>
            </w:r>
          </w:p>
        </w:tc>
        <w:tc>
          <w:tcPr>
            <w:tcW w:w="1485" w:type="pct"/>
            <w:vMerge w:val="restart"/>
            <w:shd w:val="clear" w:color="auto" w:fill="auto"/>
            <w:vAlign w:val="center"/>
          </w:tcPr>
          <w:p>
            <w:pPr>
              <w:jc w:val="center"/>
              <w:rPr>
                <w:rFonts w:ascii="宋体" w:hAnsi="宋体"/>
                <w:szCs w:val="21"/>
              </w:rPr>
            </w:pPr>
            <w:r>
              <w:rPr>
                <w:rFonts w:hint="eastAsia" w:ascii="宋体" w:hAnsi="宋体"/>
                <w:bCs/>
                <w:szCs w:val="21"/>
              </w:rPr>
              <w:t>低压电工作业实训</w:t>
            </w:r>
          </w:p>
        </w:tc>
        <w:tc>
          <w:tcPr>
            <w:tcW w:w="2066" w:type="pct"/>
            <w:shd w:val="clear" w:color="auto" w:fill="auto"/>
            <w:vAlign w:val="center"/>
          </w:tcPr>
          <w:p>
            <w:pPr>
              <w:snapToGrid w:val="0"/>
              <w:jc w:val="center"/>
              <w:rPr>
                <w:rFonts w:ascii="宋体" w:hAnsi="宋体"/>
                <w:bCs/>
                <w:szCs w:val="21"/>
              </w:rPr>
            </w:pPr>
            <w:r>
              <w:rPr>
                <w:rFonts w:hint="eastAsia" w:ascii="宋体" w:hAnsi="宋体"/>
                <w:bCs/>
                <w:szCs w:val="21"/>
              </w:rPr>
              <w:t>模拟机床</w:t>
            </w:r>
          </w:p>
        </w:tc>
        <w:tc>
          <w:tcPr>
            <w:tcW w:w="668" w:type="pct"/>
            <w:shd w:val="clear" w:color="auto" w:fill="auto"/>
            <w:vAlign w:val="center"/>
          </w:tcPr>
          <w:p>
            <w:pPr>
              <w:jc w:val="center"/>
              <w:rPr>
                <w:rFonts w:ascii="宋体" w:hAnsi="宋体"/>
                <w:bCs/>
                <w:szCs w:val="21"/>
              </w:rPr>
            </w:pPr>
            <w:r>
              <w:rPr>
                <w:rFonts w:ascii="宋体" w:hAnsi="宋体"/>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shd w:val="clear" w:color="auto" w:fill="auto"/>
            <w:vAlign w:val="center"/>
          </w:tcPr>
          <w:p>
            <w:pPr>
              <w:jc w:val="center"/>
              <w:rPr>
                <w:rFonts w:ascii="宋体" w:hAnsi="宋体"/>
                <w:szCs w:val="21"/>
              </w:rPr>
            </w:pPr>
          </w:p>
        </w:tc>
        <w:tc>
          <w:tcPr>
            <w:tcW w:w="1485" w:type="pct"/>
            <w:vMerge w:val="continue"/>
            <w:shd w:val="clear" w:color="auto" w:fill="auto"/>
            <w:vAlign w:val="center"/>
          </w:tcPr>
          <w:p>
            <w:pPr>
              <w:jc w:val="center"/>
              <w:rPr>
                <w:rFonts w:ascii="宋体" w:hAnsi="宋体"/>
                <w:szCs w:val="21"/>
              </w:rPr>
            </w:pPr>
          </w:p>
        </w:tc>
        <w:tc>
          <w:tcPr>
            <w:tcW w:w="2066" w:type="pct"/>
            <w:shd w:val="clear" w:color="auto" w:fill="auto"/>
            <w:vAlign w:val="center"/>
          </w:tcPr>
          <w:p>
            <w:pPr>
              <w:jc w:val="center"/>
              <w:rPr>
                <w:rFonts w:ascii="仿宋_GB2312" w:eastAsia="仿宋_GB2312"/>
                <w:sz w:val="24"/>
              </w:rPr>
            </w:pPr>
            <w:r>
              <w:rPr>
                <w:rFonts w:hint="eastAsia" w:ascii="宋体" w:hAnsi="宋体"/>
                <w:bCs/>
                <w:szCs w:val="21"/>
              </w:rPr>
              <w:t>电工实训柜</w:t>
            </w:r>
          </w:p>
        </w:tc>
        <w:tc>
          <w:tcPr>
            <w:tcW w:w="668" w:type="pct"/>
            <w:shd w:val="clear" w:color="auto" w:fill="auto"/>
            <w:vAlign w:val="center"/>
          </w:tcPr>
          <w:p>
            <w:pPr>
              <w:jc w:val="center"/>
              <w:rPr>
                <w:rFonts w:ascii="仿宋_GB2312" w:eastAsia="仿宋_GB2312"/>
                <w:sz w:val="24"/>
              </w:rPr>
            </w:pPr>
            <w:r>
              <w:rPr>
                <w:rFonts w:ascii="宋体" w:hAnsi="宋体"/>
                <w:bCs/>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shd w:val="clear" w:color="auto" w:fill="auto"/>
            <w:vAlign w:val="center"/>
          </w:tcPr>
          <w:p>
            <w:pPr>
              <w:jc w:val="center"/>
              <w:rPr>
                <w:rFonts w:ascii="宋体" w:hAnsi="宋体"/>
                <w:szCs w:val="21"/>
              </w:rPr>
            </w:pPr>
          </w:p>
        </w:tc>
        <w:tc>
          <w:tcPr>
            <w:tcW w:w="1485" w:type="pct"/>
            <w:vMerge w:val="continue"/>
            <w:shd w:val="clear" w:color="auto" w:fill="auto"/>
            <w:vAlign w:val="center"/>
          </w:tcPr>
          <w:p>
            <w:pPr>
              <w:jc w:val="center"/>
              <w:rPr>
                <w:rFonts w:ascii="宋体" w:hAnsi="宋体"/>
                <w:szCs w:val="21"/>
              </w:rPr>
            </w:pPr>
          </w:p>
        </w:tc>
        <w:tc>
          <w:tcPr>
            <w:tcW w:w="2066" w:type="pct"/>
            <w:shd w:val="clear" w:color="auto" w:fill="auto"/>
            <w:vAlign w:val="center"/>
          </w:tcPr>
          <w:p>
            <w:pPr>
              <w:jc w:val="center"/>
              <w:rPr>
                <w:rFonts w:ascii="仿宋_GB2312" w:eastAsia="仿宋_GB2312"/>
                <w:sz w:val="24"/>
              </w:rPr>
            </w:pPr>
            <w:r>
              <w:rPr>
                <w:rFonts w:hint="eastAsia" w:ascii="宋体" w:hAnsi="宋体"/>
                <w:bCs/>
                <w:szCs w:val="21"/>
              </w:rPr>
              <w:t>电工安装板</w:t>
            </w:r>
          </w:p>
        </w:tc>
        <w:tc>
          <w:tcPr>
            <w:tcW w:w="668" w:type="pct"/>
            <w:shd w:val="clear" w:color="auto" w:fill="auto"/>
            <w:vAlign w:val="center"/>
          </w:tcPr>
          <w:p>
            <w:pPr>
              <w:jc w:val="center"/>
              <w:rPr>
                <w:rFonts w:ascii="仿宋_GB2312" w:eastAsia="仿宋_GB2312"/>
                <w:sz w:val="24"/>
              </w:rPr>
            </w:pPr>
            <w:r>
              <w:rPr>
                <w:rFonts w:ascii="宋体" w:hAnsi="宋体"/>
                <w:bCs/>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shd w:val="clear" w:color="auto" w:fill="auto"/>
            <w:vAlign w:val="center"/>
          </w:tcPr>
          <w:p>
            <w:pPr>
              <w:jc w:val="center"/>
              <w:rPr>
                <w:rFonts w:ascii="宋体" w:hAnsi="宋体"/>
                <w:szCs w:val="21"/>
              </w:rPr>
            </w:pPr>
          </w:p>
        </w:tc>
        <w:tc>
          <w:tcPr>
            <w:tcW w:w="1485" w:type="pct"/>
            <w:vMerge w:val="continue"/>
            <w:shd w:val="clear" w:color="auto" w:fill="auto"/>
            <w:vAlign w:val="center"/>
          </w:tcPr>
          <w:p>
            <w:pPr>
              <w:jc w:val="center"/>
              <w:rPr>
                <w:rFonts w:ascii="宋体" w:hAnsi="宋体"/>
                <w:szCs w:val="21"/>
              </w:rPr>
            </w:pPr>
          </w:p>
        </w:tc>
        <w:tc>
          <w:tcPr>
            <w:tcW w:w="2066" w:type="pct"/>
            <w:shd w:val="clear" w:color="auto" w:fill="auto"/>
            <w:vAlign w:val="center"/>
          </w:tcPr>
          <w:p>
            <w:pPr>
              <w:jc w:val="center"/>
              <w:rPr>
                <w:rFonts w:ascii="仿宋_GB2312" w:eastAsia="仿宋_GB2312"/>
                <w:sz w:val="24"/>
              </w:rPr>
            </w:pPr>
            <w:r>
              <w:rPr>
                <w:rFonts w:hint="eastAsia" w:ascii="宋体" w:hAnsi="宋体"/>
                <w:bCs/>
                <w:szCs w:val="21"/>
              </w:rPr>
              <w:t>数字示波器</w:t>
            </w:r>
          </w:p>
        </w:tc>
        <w:tc>
          <w:tcPr>
            <w:tcW w:w="668" w:type="pct"/>
            <w:shd w:val="clear" w:color="auto" w:fill="auto"/>
            <w:vAlign w:val="center"/>
          </w:tcPr>
          <w:p>
            <w:pPr>
              <w:jc w:val="center"/>
              <w:rPr>
                <w:rFonts w:ascii="仿宋_GB2312" w:eastAsia="仿宋_GB2312"/>
                <w:sz w:val="24"/>
              </w:rPr>
            </w:pPr>
            <w:r>
              <w:rPr>
                <w:rFonts w:ascii="宋体" w:hAnsi="宋体"/>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shd w:val="clear" w:color="auto" w:fill="auto"/>
            <w:vAlign w:val="center"/>
          </w:tcPr>
          <w:p>
            <w:pPr>
              <w:jc w:val="center"/>
              <w:rPr>
                <w:rFonts w:ascii="宋体" w:hAnsi="宋体"/>
                <w:szCs w:val="21"/>
              </w:rPr>
            </w:pPr>
          </w:p>
        </w:tc>
        <w:tc>
          <w:tcPr>
            <w:tcW w:w="1485" w:type="pct"/>
            <w:vMerge w:val="continue"/>
            <w:shd w:val="clear" w:color="auto" w:fill="auto"/>
            <w:vAlign w:val="center"/>
          </w:tcPr>
          <w:p>
            <w:pPr>
              <w:jc w:val="center"/>
              <w:rPr>
                <w:rFonts w:ascii="宋体" w:hAnsi="宋体"/>
                <w:szCs w:val="21"/>
              </w:rPr>
            </w:pPr>
          </w:p>
        </w:tc>
        <w:tc>
          <w:tcPr>
            <w:tcW w:w="2066" w:type="pct"/>
            <w:shd w:val="clear" w:color="auto" w:fill="auto"/>
            <w:vAlign w:val="center"/>
          </w:tcPr>
          <w:p>
            <w:pPr>
              <w:jc w:val="center"/>
              <w:rPr>
                <w:rFonts w:ascii="仿宋_GB2312" w:eastAsia="仿宋_GB2312"/>
                <w:sz w:val="24"/>
              </w:rPr>
            </w:pPr>
            <w:r>
              <w:rPr>
                <w:rFonts w:hint="eastAsia" w:ascii="宋体" w:hAnsi="宋体"/>
                <w:bCs/>
                <w:szCs w:val="21"/>
              </w:rPr>
              <w:t>信号发生器</w:t>
            </w:r>
          </w:p>
        </w:tc>
        <w:tc>
          <w:tcPr>
            <w:tcW w:w="668" w:type="pct"/>
            <w:shd w:val="clear" w:color="auto" w:fill="auto"/>
            <w:vAlign w:val="center"/>
          </w:tcPr>
          <w:p>
            <w:pPr>
              <w:jc w:val="center"/>
              <w:rPr>
                <w:rFonts w:ascii="仿宋_GB2312" w:eastAsia="仿宋_GB2312"/>
                <w:sz w:val="24"/>
              </w:rPr>
            </w:pPr>
            <w:r>
              <w:rPr>
                <w:rFonts w:ascii="宋体" w:hAnsi="宋体"/>
                <w:bCs/>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shd w:val="clear" w:color="auto" w:fill="auto"/>
            <w:vAlign w:val="center"/>
          </w:tcPr>
          <w:p>
            <w:pPr>
              <w:jc w:val="center"/>
              <w:rPr>
                <w:rFonts w:ascii="宋体" w:hAnsi="宋体"/>
                <w:szCs w:val="21"/>
              </w:rPr>
            </w:pPr>
          </w:p>
        </w:tc>
        <w:tc>
          <w:tcPr>
            <w:tcW w:w="1485" w:type="pct"/>
            <w:vMerge w:val="continue"/>
            <w:shd w:val="clear" w:color="auto" w:fill="auto"/>
            <w:vAlign w:val="center"/>
          </w:tcPr>
          <w:p>
            <w:pPr>
              <w:jc w:val="center"/>
              <w:rPr>
                <w:rFonts w:ascii="宋体" w:hAnsi="宋体"/>
                <w:szCs w:val="21"/>
              </w:rPr>
            </w:pPr>
          </w:p>
        </w:tc>
        <w:tc>
          <w:tcPr>
            <w:tcW w:w="2066" w:type="pct"/>
            <w:shd w:val="clear" w:color="auto" w:fill="auto"/>
            <w:vAlign w:val="center"/>
          </w:tcPr>
          <w:p>
            <w:pPr>
              <w:jc w:val="center"/>
              <w:rPr>
                <w:rFonts w:ascii="仿宋_GB2312" w:eastAsia="仿宋_GB2312"/>
                <w:sz w:val="24"/>
              </w:rPr>
            </w:pPr>
            <w:r>
              <w:rPr>
                <w:rFonts w:hint="eastAsia" w:ascii="宋体" w:hAnsi="宋体"/>
                <w:bCs/>
                <w:szCs w:val="21"/>
              </w:rPr>
              <w:t>晶体管图示仪</w:t>
            </w:r>
          </w:p>
        </w:tc>
        <w:tc>
          <w:tcPr>
            <w:tcW w:w="668" w:type="pct"/>
            <w:shd w:val="clear" w:color="auto" w:fill="auto"/>
            <w:vAlign w:val="center"/>
          </w:tcPr>
          <w:p>
            <w:pPr>
              <w:jc w:val="center"/>
              <w:rPr>
                <w:rFonts w:ascii="仿宋_GB2312" w:eastAsia="仿宋_GB2312"/>
                <w:sz w:val="24"/>
              </w:rPr>
            </w:pPr>
            <w:r>
              <w:rPr>
                <w:rFonts w:ascii="宋体" w:hAnsi="宋体"/>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restart"/>
            <w:shd w:val="clear" w:color="auto" w:fill="auto"/>
            <w:vAlign w:val="center"/>
          </w:tcPr>
          <w:p>
            <w:pPr>
              <w:jc w:val="center"/>
              <w:rPr>
                <w:rFonts w:ascii="宋体" w:hAnsi="宋体"/>
                <w:szCs w:val="21"/>
              </w:rPr>
            </w:pPr>
            <w:r>
              <w:rPr>
                <w:rFonts w:hint="eastAsia" w:ascii="宋体" w:hAnsi="宋体"/>
                <w:szCs w:val="21"/>
              </w:rPr>
              <w:t>专业核心技能实训</w:t>
            </w:r>
          </w:p>
        </w:tc>
        <w:tc>
          <w:tcPr>
            <w:tcW w:w="1485" w:type="pct"/>
            <w:vMerge w:val="restart"/>
            <w:shd w:val="clear" w:color="auto" w:fill="auto"/>
            <w:vAlign w:val="center"/>
          </w:tcPr>
          <w:p>
            <w:pPr>
              <w:jc w:val="center"/>
              <w:rPr>
                <w:rFonts w:ascii="宋体" w:hAnsi="宋体"/>
                <w:szCs w:val="21"/>
              </w:rPr>
            </w:pPr>
            <w:r>
              <w:rPr>
                <w:rFonts w:hint="eastAsia" w:ascii="宋体" w:hAnsi="宋体"/>
                <w:szCs w:val="21"/>
              </w:rPr>
              <w:t>城市轨道交通综合实训</w:t>
            </w:r>
          </w:p>
        </w:tc>
        <w:tc>
          <w:tcPr>
            <w:tcW w:w="2066" w:type="pct"/>
            <w:shd w:val="clear" w:color="auto" w:fill="auto"/>
            <w:vAlign w:val="center"/>
          </w:tcPr>
          <w:p>
            <w:pPr>
              <w:snapToGrid w:val="0"/>
              <w:jc w:val="center"/>
              <w:rPr>
                <w:rFonts w:ascii="宋体" w:hAnsi="宋体"/>
                <w:bCs/>
                <w:szCs w:val="21"/>
              </w:rPr>
            </w:pPr>
            <w:r>
              <w:rPr>
                <w:rFonts w:hint="eastAsia" w:ascii="宋体" w:hAnsi="宋体"/>
                <w:bCs/>
                <w:szCs w:val="21"/>
              </w:rPr>
              <w:t>车站控制室综合后备盘（IBP）及综合监控（ISCS）实训平台</w:t>
            </w:r>
          </w:p>
        </w:tc>
        <w:tc>
          <w:tcPr>
            <w:tcW w:w="668" w:type="pct"/>
            <w:shd w:val="clear" w:color="auto" w:fill="auto"/>
            <w:vAlign w:val="center"/>
          </w:tcPr>
          <w:p>
            <w:pPr>
              <w:snapToGrid w:val="0"/>
              <w:jc w:val="center"/>
              <w:rPr>
                <w:rFonts w:ascii="宋体" w:hAnsi="宋体"/>
                <w:bCs/>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vAlign w:val="center"/>
          </w:tcPr>
          <w:p>
            <w:pPr>
              <w:jc w:val="center"/>
              <w:rPr>
                <w:rFonts w:ascii="宋体" w:hAnsi="宋体"/>
                <w:szCs w:val="21"/>
              </w:rPr>
            </w:pPr>
          </w:p>
        </w:tc>
        <w:tc>
          <w:tcPr>
            <w:tcW w:w="1485" w:type="pct"/>
            <w:vMerge w:val="continue"/>
            <w:vAlign w:val="center"/>
          </w:tcPr>
          <w:p>
            <w:pPr>
              <w:jc w:val="center"/>
              <w:rPr>
                <w:rFonts w:ascii="宋体" w:hAnsi="宋体"/>
                <w:szCs w:val="21"/>
              </w:rPr>
            </w:pPr>
          </w:p>
        </w:tc>
        <w:tc>
          <w:tcPr>
            <w:tcW w:w="2066" w:type="pct"/>
            <w:vAlign w:val="center"/>
          </w:tcPr>
          <w:p>
            <w:pPr>
              <w:jc w:val="center"/>
              <w:rPr>
                <w:rFonts w:ascii="宋体" w:hAnsi="宋体"/>
                <w:bCs/>
                <w:szCs w:val="21"/>
              </w:rPr>
            </w:pPr>
            <w:r>
              <w:rPr>
                <w:rFonts w:hint="eastAsia" w:ascii="宋体" w:hAnsi="宋体"/>
                <w:bCs/>
                <w:szCs w:val="21"/>
              </w:rPr>
              <w:t>单机版综合监控软件及单机版ATS软件</w:t>
            </w:r>
          </w:p>
        </w:tc>
        <w:tc>
          <w:tcPr>
            <w:tcW w:w="668" w:type="pct"/>
            <w:vAlign w:val="center"/>
          </w:tcPr>
          <w:p>
            <w:pPr>
              <w:jc w:val="center"/>
              <w:rPr>
                <w:rFonts w:ascii="宋体" w:hAnsi="宋体"/>
                <w:bCs/>
                <w:szCs w:val="21"/>
              </w:rPr>
            </w:pPr>
            <w:r>
              <w:rPr>
                <w:rFonts w:hint="eastAsia" w:ascii="宋体" w:hAnsi="宋体"/>
                <w:bCs/>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vAlign w:val="center"/>
          </w:tcPr>
          <w:p>
            <w:pPr>
              <w:jc w:val="center"/>
              <w:rPr>
                <w:rFonts w:ascii="宋体" w:hAnsi="宋体"/>
                <w:szCs w:val="21"/>
              </w:rPr>
            </w:pPr>
          </w:p>
        </w:tc>
        <w:tc>
          <w:tcPr>
            <w:tcW w:w="1485" w:type="pct"/>
            <w:vMerge w:val="continue"/>
            <w:vAlign w:val="center"/>
          </w:tcPr>
          <w:p>
            <w:pPr>
              <w:jc w:val="center"/>
              <w:rPr>
                <w:rFonts w:ascii="宋体" w:hAnsi="宋体"/>
                <w:szCs w:val="21"/>
              </w:rPr>
            </w:pPr>
          </w:p>
        </w:tc>
        <w:tc>
          <w:tcPr>
            <w:tcW w:w="2066" w:type="pct"/>
            <w:vAlign w:val="center"/>
          </w:tcPr>
          <w:p>
            <w:pPr>
              <w:jc w:val="center"/>
              <w:rPr>
                <w:rFonts w:ascii="宋体" w:hAnsi="宋体"/>
                <w:bCs/>
                <w:szCs w:val="21"/>
              </w:rPr>
            </w:pPr>
            <w:r>
              <w:rPr>
                <w:rFonts w:hint="eastAsia" w:ascii="宋体" w:hAnsi="宋体"/>
                <w:bCs/>
                <w:szCs w:val="21"/>
              </w:rPr>
              <w:t>自动售检票系统（AFC）实训平台</w:t>
            </w:r>
          </w:p>
        </w:tc>
        <w:tc>
          <w:tcPr>
            <w:tcW w:w="668" w:type="pct"/>
            <w:vAlign w:val="center"/>
          </w:tcPr>
          <w:p>
            <w:pPr>
              <w:jc w:val="center"/>
              <w:rPr>
                <w:rFonts w:ascii="宋体" w:hAnsi="宋体"/>
                <w:bCs/>
                <w:szCs w:val="21"/>
              </w:rPr>
            </w:pPr>
            <w:r>
              <w:rPr>
                <w:rFonts w:hint="eastAsia" w:ascii="宋体" w:hAnsi="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vAlign w:val="center"/>
          </w:tcPr>
          <w:p>
            <w:pPr>
              <w:jc w:val="center"/>
              <w:rPr>
                <w:rFonts w:ascii="宋体" w:hAnsi="宋体"/>
                <w:szCs w:val="21"/>
              </w:rPr>
            </w:pPr>
          </w:p>
        </w:tc>
        <w:tc>
          <w:tcPr>
            <w:tcW w:w="1485" w:type="pct"/>
            <w:vMerge w:val="continue"/>
            <w:vAlign w:val="center"/>
          </w:tcPr>
          <w:p>
            <w:pPr>
              <w:jc w:val="center"/>
              <w:rPr>
                <w:rFonts w:ascii="宋体" w:hAnsi="宋体"/>
                <w:szCs w:val="21"/>
              </w:rPr>
            </w:pPr>
          </w:p>
        </w:tc>
        <w:tc>
          <w:tcPr>
            <w:tcW w:w="2066" w:type="pct"/>
            <w:vAlign w:val="center"/>
          </w:tcPr>
          <w:p>
            <w:pPr>
              <w:jc w:val="center"/>
              <w:rPr>
                <w:rFonts w:ascii="宋体" w:hAnsi="宋体"/>
                <w:bCs/>
                <w:szCs w:val="21"/>
              </w:rPr>
            </w:pPr>
            <w:r>
              <w:rPr>
                <w:rFonts w:hint="eastAsia" w:ascii="宋体" w:hAnsi="宋体"/>
                <w:bCs/>
                <w:szCs w:val="21"/>
              </w:rPr>
              <w:t>单机版票务软件及检修仿真软件</w:t>
            </w:r>
          </w:p>
        </w:tc>
        <w:tc>
          <w:tcPr>
            <w:tcW w:w="668" w:type="pct"/>
            <w:vAlign w:val="center"/>
          </w:tcPr>
          <w:p>
            <w:pPr>
              <w:jc w:val="center"/>
              <w:rPr>
                <w:rFonts w:ascii="宋体" w:hAnsi="宋体"/>
                <w:bCs/>
                <w:szCs w:val="21"/>
              </w:rPr>
            </w:pPr>
            <w:r>
              <w:rPr>
                <w:rFonts w:hint="eastAsia" w:ascii="宋体" w:hAnsi="宋体"/>
                <w:bCs/>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vAlign w:val="center"/>
          </w:tcPr>
          <w:p>
            <w:pPr>
              <w:jc w:val="center"/>
              <w:rPr>
                <w:rFonts w:ascii="宋体" w:hAnsi="宋体"/>
                <w:szCs w:val="21"/>
              </w:rPr>
            </w:pPr>
          </w:p>
        </w:tc>
        <w:tc>
          <w:tcPr>
            <w:tcW w:w="1485" w:type="pct"/>
            <w:vMerge w:val="continue"/>
            <w:vAlign w:val="center"/>
          </w:tcPr>
          <w:p>
            <w:pPr>
              <w:jc w:val="center"/>
              <w:rPr>
                <w:rFonts w:ascii="宋体" w:hAnsi="宋体"/>
                <w:szCs w:val="21"/>
              </w:rPr>
            </w:pPr>
          </w:p>
        </w:tc>
        <w:tc>
          <w:tcPr>
            <w:tcW w:w="2066" w:type="pct"/>
            <w:vAlign w:val="center"/>
          </w:tcPr>
          <w:p>
            <w:pPr>
              <w:jc w:val="center"/>
              <w:rPr>
                <w:rFonts w:ascii="宋体" w:hAnsi="宋体"/>
                <w:bCs/>
                <w:szCs w:val="21"/>
              </w:rPr>
            </w:pPr>
            <w:r>
              <w:rPr>
                <w:rFonts w:hint="eastAsia" w:ascii="宋体" w:hAnsi="宋体"/>
                <w:bCs/>
                <w:szCs w:val="21"/>
              </w:rPr>
              <w:t>屏蔽门系统（PSD）实训平台</w:t>
            </w:r>
          </w:p>
        </w:tc>
        <w:tc>
          <w:tcPr>
            <w:tcW w:w="668" w:type="pct"/>
            <w:vAlign w:val="center"/>
          </w:tcPr>
          <w:p>
            <w:pPr>
              <w:jc w:val="center"/>
              <w:rPr>
                <w:rFonts w:ascii="宋体" w:hAnsi="宋体"/>
                <w:bCs/>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vAlign w:val="center"/>
          </w:tcPr>
          <w:p>
            <w:pPr>
              <w:jc w:val="center"/>
              <w:rPr>
                <w:rFonts w:ascii="宋体" w:hAnsi="宋体"/>
                <w:szCs w:val="21"/>
              </w:rPr>
            </w:pPr>
          </w:p>
        </w:tc>
        <w:tc>
          <w:tcPr>
            <w:tcW w:w="1485" w:type="pct"/>
            <w:vMerge w:val="continue"/>
            <w:vAlign w:val="center"/>
          </w:tcPr>
          <w:p>
            <w:pPr>
              <w:jc w:val="center"/>
              <w:rPr>
                <w:rFonts w:ascii="宋体" w:hAnsi="宋体"/>
                <w:szCs w:val="21"/>
              </w:rPr>
            </w:pPr>
          </w:p>
        </w:tc>
        <w:tc>
          <w:tcPr>
            <w:tcW w:w="2066" w:type="pct"/>
            <w:vAlign w:val="center"/>
          </w:tcPr>
          <w:p>
            <w:pPr>
              <w:jc w:val="center"/>
              <w:rPr>
                <w:rFonts w:ascii="仿宋_GB2312" w:eastAsia="仿宋_GB2312"/>
                <w:b/>
                <w:sz w:val="24"/>
              </w:rPr>
            </w:pPr>
            <w:r>
              <w:rPr>
                <w:rFonts w:hint="eastAsia" w:ascii="宋体" w:hAnsi="宋体"/>
                <w:bCs/>
                <w:szCs w:val="21"/>
              </w:rPr>
              <w:t>屏蔽门系统检修仿真软件</w:t>
            </w:r>
          </w:p>
        </w:tc>
        <w:tc>
          <w:tcPr>
            <w:tcW w:w="668" w:type="pct"/>
            <w:vAlign w:val="center"/>
          </w:tcPr>
          <w:p>
            <w:pPr>
              <w:jc w:val="center"/>
              <w:rPr>
                <w:rFonts w:ascii="仿宋_GB2312" w:eastAsia="仿宋_GB2312"/>
                <w:b/>
                <w:sz w:val="24"/>
              </w:rPr>
            </w:pPr>
            <w:r>
              <w:rPr>
                <w:rFonts w:hint="eastAsia" w:ascii="宋体" w:hAnsi="宋体"/>
                <w:bCs/>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vAlign w:val="center"/>
          </w:tcPr>
          <w:p>
            <w:pPr>
              <w:jc w:val="center"/>
              <w:rPr>
                <w:rFonts w:ascii="宋体" w:hAnsi="宋体"/>
                <w:szCs w:val="21"/>
              </w:rPr>
            </w:pPr>
          </w:p>
        </w:tc>
        <w:tc>
          <w:tcPr>
            <w:tcW w:w="1485" w:type="pct"/>
            <w:vMerge w:val="continue"/>
            <w:vAlign w:val="center"/>
          </w:tcPr>
          <w:p>
            <w:pPr>
              <w:jc w:val="center"/>
              <w:rPr>
                <w:rFonts w:ascii="宋体" w:hAnsi="宋体"/>
                <w:szCs w:val="21"/>
              </w:rPr>
            </w:pPr>
          </w:p>
        </w:tc>
        <w:tc>
          <w:tcPr>
            <w:tcW w:w="2066" w:type="pct"/>
            <w:vAlign w:val="center"/>
          </w:tcPr>
          <w:p>
            <w:pPr>
              <w:jc w:val="center"/>
              <w:rPr>
                <w:rFonts w:ascii="仿宋_GB2312" w:eastAsia="仿宋_GB2312"/>
                <w:b/>
                <w:sz w:val="24"/>
              </w:rPr>
            </w:pPr>
            <w:r>
              <w:rPr>
                <w:rFonts w:hint="eastAsia" w:ascii="宋体" w:hAnsi="宋体"/>
                <w:bCs/>
                <w:szCs w:val="21"/>
              </w:rPr>
              <w:t>电梯系统实训平台（城轨车站电梯三维检修软件）</w:t>
            </w:r>
          </w:p>
        </w:tc>
        <w:tc>
          <w:tcPr>
            <w:tcW w:w="668" w:type="pct"/>
            <w:vAlign w:val="center"/>
          </w:tcPr>
          <w:p>
            <w:pPr>
              <w:jc w:val="center"/>
              <w:rPr>
                <w:rFonts w:ascii="仿宋_GB2312" w:eastAsia="仿宋_GB2312"/>
                <w:b/>
                <w:sz w:val="24"/>
              </w:rPr>
            </w:pPr>
            <w:r>
              <w:rPr>
                <w:rFonts w:hint="eastAsia" w:ascii="宋体" w:hAnsi="宋体"/>
                <w:bCs/>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vAlign w:val="center"/>
          </w:tcPr>
          <w:p>
            <w:pPr>
              <w:jc w:val="center"/>
              <w:rPr>
                <w:rFonts w:ascii="宋体" w:hAnsi="宋体"/>
                <w:szCs w:val="21"/>
              </w:rPr>
            </w:pPr>
          </w:p>
        </w:tc>
        <w:tc>
          <w:tcPr>
            <w:tcW w:w="1485" w:type="pct"/>
            <w:vMerge w:val="continue"/>
            <w:vAlign w:val="center"/>
          </w:tcPr>
          <w:p>
            <w:pPr>
              <w:jc w:val="center"/>
              <w:rPr>
                <w:rFonts w:ascii="宋体" w:hAnsi="宋体"/>
                <w:szCs w:val="21"/>
              </w:rPr>
            </w:pPr>
          </w:p>
        </w:tc>
        <w:tc>
          <w:tcPr>
            <w:tcW w:w="2066" w:type="pct"/>
            <w:vAlign w:val="center"/>
          </w:tcPr>
          <w:p>
            <w:pPr>
              <w:jc w:val="center"/>
              <w:rPr>
                <w:rFonts w:ascii="仿宋_GB2312" w:eastAsia="仿宋_GB2312"/>
                <w:b/>
                <w:sz w:val="24"/>
              </w:rPr>
            </w:pPr>
            <w:r>
              <w:rPr>
                <w:rFonts w:hint="eastAsia" w:ascii="宋体" w:hAnsi="宋体"/>
                <w:bCs/>
                <w:szCs w:val="21"/>
              </w:rPr>
              <w:t>平台型模拟驾驶器</w:t>
            </w:r>
          </w:p>
        </w:tc>
        <w:tc>
          <w:tcPr>
            <w:tcW w:w="668" w:type="pct"/>
            <w:vAlign w:val="center"/>
          </w:tcPr>
          <w:p>
            <w:pPr>
              <w:jc w:val="center"/>
              <w:rPr>
                <w:rFonts w:ascii="仿宋_GB2312" w:eastAsia="仿宋_GB2312"/>
                <w:b/>
                <w:sz w:val="24"/>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vAlign w:val="center"/>
          </w:tcPr>
          <w:p>
            <w:pPr>
              <w:jc w:val="center"/>
              <w:rPr>
                <w:rFonts w:ascii="宋体" w:hAnsi="宋体"/>
                <w:szCs w:val="21"/>
              </w:rPr>
            </w:pPr>
          </w:p>
        </w:tc>
        <w:tc>
          <w:tcPr>
            <w:tcW w:w="1485" w:type="pct"/>
            <w:vMerge w:val="continue"/>
            <w:vAlign w:val="center"/>
          </w:tcPr>
          <w:p>
            <w:pPr>
              <w:jc w:val="center"/>
              <w:rPr>
                <w:rFonts w:ascii="宋体" w:hAnsi="宋体"/>
                <w:szCs w:val="21"/>
              </w:rPr>
            </w:pPr>
          </w:p>
        </w:tc>
        <w:tc>
          <w:tcPr>
            <w:tcW w:w="2066" w:type="pct"/>
            <w:vAlign w:val="center"/>
          </w:tcPr>
          <w:p>
            <w:pPr>
              <w:jc w:val="center"/>
              <w:rPr>
                <w:rFonts w:ascii="仿宋_GB2312" w:eastAsia="仿宋_GB2312"/>
                <w:b/>
                <w:sz w:val="24"/>
              </w:rPr>
            </w:pPr>
            <w:r>
              <w:rPr>
                <w:rFonts w:hint="eastAsia" w:ascii="宋体" w:hAnsi="宋体"/>
                <w:bCs/>
                <w:szCs w:val="21"/>
              </w:rPr>
              <w:t>单机版模拟驾驶软件</w:t>
            </w:r>
          </w:p>
        </w:tc>
        <w:tc>
          <w:tcPr>
            <w:tcW w:w="668" w:type="pct"/>
            <w:vAlign w:val="center"/>
          </w:tcPr>
          <w:p>
            <w:pPr>
              <w:jc w:val="center"/>
              <w:rPr>
                <w:rFonts w:ascii="仿宋_GB2312" w:eastAsia="仿宋_GB2312"/>
                <w:b/>
                <w:sz w:val="24"/>
              </w:rPr>
            </w:pPr>
            <w:r>
              <w:rPr>
                <w:rFonts w:hint="eastAsia" w:ascii="宋体" w:hAnsi="宋体"/>
                <w:bCs/>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restart"/>
            <w:vAlign w:val="center"/>
          </w:tcPr>
          <w:p>
            <w:pPr>
              <w:jc w:val="center"/>
              <w:rPr>
                <w:rFonts w:ascii="宋体" w:hAnsi="宋体"/>
                <w:szCs w:val="21"/>
              </w:rPr>
            </w:pPr>
            <w:r>
              <w:rPr>
                <w:rFonts w:hint="eastAsia" w:ascii="宋体" w:hAnsi="宋体"/>
                <w:bCs/>
                <w:szCs w:val="21"/>
              </w:rPr>
              <w:t>专业拓展技能实训</w:t>
            </w:r>
          </w:p>
        </w:tc>
        <w:tc>
          <w:tcPr>
            <w:tcW w:w="1485" w:type="pct"/>
            <w:vMerge w:val="restart"/>
            <w:vAlign w:val="center"/>
          </w:tcPr>
          <w:p>
            <w:pPr>
              <w:jc w:val="center"/>
              <w:rPr>
                <w:rFonts w:ascii="仿宋_GB2312" w:eastAsia="仿宋_GB2312"/>
                <w:sz w:val="24"/>
              </w:rPr>
            </w:pPr>
            <w:r>
              <w:rPr>
                <w:rFonts w:hint="eastAsia" w:ascii="宋体" w:hAnsi="宋体"/>
                <w:szCs w:val="21"/>
              </w:rPr>
              <w:t>城市轨道交通信号设备维检修实训</w:t>
            </w:r>
          </w:p>
        </w:tc>
        <w:tc>
          <w:tcPr>
            <w:tcW w:w="2066" w:type="pct"/>
            <w:vAlign w:val="center"/>
          </w:tcPr>
          <w:p>
            <w:pPr>
              <w:jc w:val="center"/>
              <w:rPr>
                <w:rFonts w:ascii="宋体" w:hAnsi="宋体"/>
                <w:bCs/>
                <w:szCs w:val="21"/>
              </w:rPr>
            </w:pPr>
            <w:r>
              <w:rPr>
                <w:rFonts w:hint="eastAsia" w:ascii="宋体" w:hAnsi="宋体"/>
                <w:bCs/>
                <w:szCs w:val="21"/>
              </w:rPr>
              <w:t>转辙机</w:t>
            </w:r>
          </w:p>
        </w:tc>
        <w:tc>
          <w:tcPr>
            <w:tcW w:w="668" w:type="pct"/>
            <w:vAlign w:val="center"/>
          </w:tcPr>
          <w:p>
            <w:pPr>
              <w:jc w:val="center"/>
              <w:rPr>
                <w:rFonts w:ascii="宋体" w:hAnsi="宋体"/>
                <w:bCs/>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vAlign w:val="center"/>
          </w:tcPr>
          <w:p>
            <w:pPr>
              <w:jc w:val="center"/>
              <w:rPr>
                <w:rFonts w:ascii="宋体" w:hAnsi="宋体"/>
                <w:szCs w:val="21"/>
              </w:rPr>
            </w:pPr>
          </w:p>
        </w:tc>
        <w:tc>
          <w:tcPr>
            <w:tcW w:w="1485" w:type="pct"/>
            <w:vMerge w:val="continue"/>
            <w:vAlign w:val="center"/>
          </w:tcPr>
          <w:p>
            <w:pPr>
              <w:jc w:val="center"/>
              <w:rPr>
                <w:rFonts w:ascii="宋体" w:hAnsi="宋体"/>
                <w:szCs w:val="21"/>
              </w:rPr>
            </w:pPr>
          </w:p>
        </w:tc>
        <w:tc>
          <w:tcPr>
            <w:tcW w:w="2066" w:type="pct"/>
            <w:vAlign w:val="center"/>
          </w:tcPr>
          <w:p>
            <w:pPr>
              <w:jc w:val="center"/>
              <w:rPr>
                <w:rFonts w:ascii="宋体" w:hAnsi="宋体"/>
                <w:bCs/>
                <w:szCs w:val="21"/>
              </w:rPr>
            </w:pPr>
            <w:r>
              <w:rPr>
                <w:rFonts w:hint="eastAsia" w:ascii="宋体" w:hAnsi="宋体"/>
                <w:bCs/>
                <w:szCs w:val="21"/>
              </w:rPr>
              <w:t>信号机</w:t>
            </w:r>
          </w:p>
        </w:tc>
        <w:tc>
          <w:tcPr>
            <w:tcW w:w="668" w:type="pct"/>
            <w:vAlign w:val="center"/>
          </w:tcPr>
          <w:p>
            <w:pPr>
              <w:jc w:val="center"/>
              <w:rPr>
                <w:rFonts w:ascii="宋体" w:hAnsi="宋体"/>
                <w:bCs/>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vAlign w:val="center"/>
          </w:tcPr>
          <w:p>
            <w:pPr>
              <w:jc w:val="center"/>
              <w:rPr>
                <w:rFonts w:ascii="宋体" w:hAnsi="宋体"/>
                <w:szCs w:val="21"/>
              </w:rPr>
            </w:pPr>
          </w:p>
        </w:tc>
        <w:tc>
          <w:tcPr>
            <w:tcW w:w="1485" w:type="pct"/>
            <w:vMerge w:val="continue"/>
            <w:vAlign w:val="center"/>
          </w:tcPr>
          <w:p>
            <w:pPr>
              <w:jc w:val="center"/>
              <w:rPr>
                <w:rFonts w:ascii="宋体" w:hAnsi="宋体"/>
                <w:szCs w:val="21"/>
              </w:rPr>
            </w:pPr>
          </w:p>
        </w:tc>
        <w:tc>
          <w:tcPr>
            <w:tcW w:w="2066" w:type="pct"/>
            <w:vAlign w:val="center"/>
          </w:tcPr>
          <w:p>
            <w:pPr>
              <w:jc w:val="center"/>
              <w:rPr>
                <w:rFonts w:ascii="宋体" w:hAnsi="宋体"/>
                <w:bCs/>
                <w:szCs w:val="21"/>
              </w:rPr>
            </w:pPr>
            <w:r>
              <w:rPr>
                <w:rFonts w:hint="eastAsia" w:ascii="宋体" w:hAnsi="宋体"/>
                <w:bCs/>
                <w:szCs w:val="21"/>
              </w:rPr>
              <w:t>钢轨及道岔</w:t>
            </w:r>
          </w:p>
        </w:tc>
        <w:tc>
          <w:tcPr>
            <w:tcW w:w="668" w:type="pct"/>
            <w:vAlign w:val="center"/>
          </w:tcPr>
          <w:p>
            <w:pPr>
              <w:jc w:val="center"/>
              <w:rPr>
                <w:rFonts w:ascii="宋体" w:hAnsi="宋体"/>
                <w:bCs/>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vAlign w:val="center"/>
          </w:tcPr>
          <w:p>
            <w:pPr>
              <w:jc w:val="center"/>
              <w:rPr>
                <w:rFonts w:ascii="宋体" w:hAnsi="宋体"/>
                <w:szCs w:val="21"/>
              </w:rPr>
            </w:pPr>
          </w:p>
        </w:tc>
        <w:tc>
          <w:tcPr>
            <w:tcW w:w="1485" w:type="pct"/>
            <w:vMerge w:val="continue"/>
            <w:vAlign w:val="center"/>
          </w:tcPr>
          <w:p>
            <w:pPr>
              <w:jc w:val="center"/>
              <w:rPr>
                <w:rFonts w:ascii="宋体" w:hAnsi="宋体"/>
                <w:szCs w:val="21"/>
              </w:rPr>
            </w:pPr>
          </w:p>
        </w:tc>
        <w:tc>
          <w:tcPr>
            <w:tcW w:w="2066" w:type="pct"/>
            <w:vAlign w:val="center"/>
          </w:tcPr>
          <w:p>
            <w:pPr>
              <w:jc w:val="center"/>
              <w:rPr>
                <w:rFonts w:ascii="宋体" w:hAnsi="宋体"/>
                <w:bCs/>
                <w:szCs w:val="21"/>
              </w:rPr>
            </w:pPr>
            <w:r>
              <w:rPr>
                <w:rFonts w:hint="eastAsia" w:ascii="宋体" w:hAnsi="宋体"/>
                <w:bCs/>
                <w:szCs w:val="21"/>
              </w:rPr>
              <w:t>轨旁设备（含应答器、计轴器）</w:t>
            </w:r>
          </w:p>
        </w:tc>
        <w:tc>
          <w:tcPr>
            <w:tcW w:w="668" w:type="pct"/>
            <w:vAlign w:val="center"/>
          </w:tcPr>
          <w:p>
            <w:pPr>
              <w:jc w:val="center"/>
              <w:rPr>
                <w:rFonts w:ascii="宋体" w:hAnsi="宋体"/>
                <w:bCs/>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vAlign w:val="center"/>
          </w:tcPr>
          <w:p>
            <w:pPr>
              <w:jc w:val="center"/>
              <w:rPr>
                <w:rFonts w:ascii="宋体" w:hAnsi="宋体"/>
                <w:szCs w:val="21"/>
              </w:rPr>
            </w:pPr>
          </w:p>
        </w:tc>
        <w:tc>
          <w:tcPr>
            <w:tcW w:w="1485" w:type="pct"/>
            <w:vMerge w:val="continue"/>
            <w:vAlign w:val="center"/>
          </w:tcPr>
          <w:p>
            <w:pPr>
              <w:jc w:val="center"/>
              <w:rPr>
                <w:rFonts w:ascii="宋体" w:hAnsi="宋体"/>
                <w:szCs w:val="21"/>
              </w:rPr>
            </w:pPr>
          </w:p>
        </w:tc>
        <w:tc>
          <w:tcPr>
            <w:tcW w:w="2066" w:type="pct"/>
            <w:vAlign w:val="center"/>
          </w:tcPr>
          <w:p>
            <w:pPr>
              <w:jc w:val="center"/>
              <w:rPr>
                <w:rFonts w:ascii="宋体" w:hAnsi="宋体"/>
                <w:bCs/>
                <w:szCs w:val="21"/>
              </w:rPr>
            </w:pPr>
            <w:r>
              <w:rPr>
                <w:rFonts w:hint="eastAsia" w:ascii="宋体" w:hAnsi="宋体"/>
                <w:bCs/>
                <w:szCs w:val="21"/>
              </w:rPr>
              <w:t>轨道电路</w:t>
            </w:r>
          </w:p>
        </w:tc>
        <w:tc>
          <w:tcPr>
            <w:tcW w:w="668" w:type="pct"/>
            <w:vAlign w:val="center"/>
          </w:tcPr>
          <w:p>
            <w:pPr>
              <w:jc w:val="center"/>
              <w:rPr>
                <w:rFonts w:ascii="宋体" w:hAnsi="宋体"/>
                <w:bCs/>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vAlign w:val="center"/>
          </w:tcPr>
          <w:p>
            <w:pPr>
              <w:jc w:val="center"/>
              <w:rPr>
                <w:rFonts w:ascii="宋体" w:hAnsi="宋体"/>
                <w:szCs w:val="21"/>
              </w:rPr>
            </w:pPr>
          </w:p>
        </w:tc>
        <w:tc>
          <w:tcPr>
            <w:tcW w:w="1485" w:type="pct"/>
            <w:vMerge w:val="continue"/>
            <w:vAlign w:val="center"/>
          </w:tcPr>
          <w:p>
            <w:pPr>
              <w:jc w:val="center"/>
              <w:rPr>
                <w:rFonts w:ascii="宋体" w:hAnsi="宋体"/>
                <w:szCs w:val="21"/>
              </w:rPr>
            </w:pPr>
          </w:p>
        </w:tc>
        <w:tc>
          <w:tcPr>
            <w:tcW w:w="2066" w:type="pct"/>
            <w:vAlign w:val="center"/>
          </w:tcPr>
          <w:p>
            <w:pPr>
              <w:jc w:val="center"/>
              <w:rPr>
                <w:rFonts w:ascii="宋体" w:hAnsi="宋体"/>
                <w:bCs/>
                <w:szCs w:val="21"/>
              </w:rPr>
            </w:pPr>
            <w:r>
              <w:rPr>
                <w:rFonts w:hint="eastAsia" w:ascii="宋体" w:hAnsi="宋体"/>
                <w:bCs/>
                <w:szCs w:val="21"/>
              </w:rPr>
              <w:t>控制台</w:t>
            </w:r>
          </w:p>
        </w:tc>
        <w:tc>
          <w:tcPr>
            <w:tcW w:w="668" w:type="pct"/>
            <w:vAlign w:val="center"/>
          </w:tcPr>
          <w:p>
            <w:pPr>
              <w:jc w:val="center"/>
              <w:rPr>
                <w:rFonts w:ascii="宋体" w:hAnsi="宋体"/>
                <w:bCs/>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vAlign w:val="center"/>
          </w:tcPr>
          <w:p>
            <w:pPr>
              <w:jc w:val="center"/>
              <w:rPr>
                <w:rFonts w:ascii="宋体" w:hAnsi="宋体"/>
                <w:szCs w:val="21"/>
              </w:rPr>
            </w:pPr>
          </w:p>
        </w:tc>
        <w:tc>
          <w:tcPr>
            <w:tcW w:w="1485" w:type="pct"/>
            <w:vMerge w:val="continue"/>
            <w:vAlign w:val="center"/>
          </w:tcPr>
          <w:p>
            <w:pPr>
              <w:jc w:val="center"/>
              <w:rPr>
                <w:rFonts w:ascii="宋体" w:hAnsi="宋体"/>
                <w:szCs w:val="21"/>
              </w:rPr>
            </w:pPr>
          </w:p>
        </w:tc>
        <w:tc>
          <w:tcPr>
            <w:tcW w:w="2066" w:type="pct"/>
            <w:vAlign w:val="center"/>
          </w:tcPr>
          <w:p>
            <w:pPr>
              <w:jc w:val="center"/>
              <w:rPr>
                <w:rFonts w:ascii="宋体" w:hAnsi="宋体"/>
                <w:bCs/>
                <w:szCs w:val="21"/>
              </w:rPr>
            </w:pPr>
            <w:r>
              <w:rPr>
                <w:rFonts w:hint="eastAsia" w:ascii="宋体" w:hAnsi="宋体"/>
                <w:bCs/>
                <w:szCs w:val="21"/>
              </w:rPr>
              <w:t>组合架</w:t>
            </w:r>
          </w:p>
        </w:tc>
        <w:tc>
          <w:tcPr>
            <w:tcW w:w="668" w:type="pct"/>
            <w:vAlign w:val="center"/>
          </w:tcPr>
          <w:p>
            <w:pPr>
              <w:jc w:val="center"/>
              <w:rPr>
                <w:rFonts w:ascii="宋体" w:hAnsi="宋体"/>
                <w:bCs/>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vAlign w:val="center"/>
          </w:tcPr>
          <w:p>
            <w:pPr>
              <w:jc w:val="center"/>
              <w:rPr>
                <w:rFonts w:ascii="宋体" w:hAnsi="宋体"/>
                <w:szCs w:val="21"/>
              </w:rPr>
            </w:pPr>
          </w:p>
        </w:tc>
        <w:tc>
          <w:tcPr>
            <w:tcW w:w="1485" w:type="pct"/>
            <w:vMerge w:val="continue"/>
            <w:vAlign w:val="center"/>
          </w:tcPr>
          <w:p>
            <w:pPr>
              <w:jc w:val="center"/>
              <w:rPr>
                <w:rFonts w:ascii="宋体" w:hAnsi="宋体"/>
                <w:szCs w:val="21"/>
              </w:rPr>
            </w:pPr>
          </w:p>
        </w:tc>
        <w:tc>
          <w:tcPr>
            <w:tcW w:w="2066" w:type="pct"/>
            <w:vAlign w:val="center"/>
          </w:tcPr>
          <w:p>
            <w:pPr>
              <w:jc w:val="center"/>
              <w:rPr>
                <w:rFonts w:ascii="宋体" w:hAnsi="宋体"/>
                <w:bCs/>
                <w:szCs w:val="21"/>
              </w:rPr>
            </w:pPr>
            <w:r>
              <w:rPr>
                <w:rFonts w:hint="eastAsia" w:ascii="宋体" w:hAnsi="宋体"/>
                <w:bCs/>
                <w:szCs w:val="21"/>
              </w:rPr>
              <w:t>继电器测试台</w:t>
            </w:r>
          </w:p>
        </w:tc>
        <w:tc>
          <w:tcPr>
            <w:tcW w:w="668" w:type="pct"/>
            <w:vAlign w:val="center"/>
          </w:tcPr>
          <w:p>
            <w:pPr>
              <w:jc w:val="center"/>
              <w:rPr>
                <w:rFonts w:ascii="宋体" w:hAnsi="宋体"/>
                <w:bCs/>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vAlign w:val="center"/>
          </w:tcPr>
          <w:p>
            <w:pPr>
              <w:jc w:val="center"/>
              <w:rPr>
                <w:rFonts w:ascii="宋体" w:hAnsi="宋体"/>
                <w:szCs w:val="21"/>
              </w:rPr>
            </w:pPr>
          </w:p>
        </w:tc>
        <w:tc>
          <w:tcPr>
            <w:tcW w:w="1485" w:type="pct"/>
            <w:vMerge w:val="continue"/>
            <w:vAlign w:val="center"/>
          </w:tcPr>
          <w:p>
            <w:pPr>
              <w:jc w:val="center"/>
              <w:rPr>
                <w:rFonts w:ascii="宋体" w:hAnsi="宋体"/>
                <w:szCs w:val="21"/>
              </w:rPr>
            </w:pPr>
          </w:p>
        </w:tc>
        <w:tc>
          <w:tcPr>
            <w:tcW w:w="2066" w:type="pct"/>
            <w:vAlign w:val="center"/>
          </w:tcPr>
          <w:p>
            <w:pPr>
              <w:jc w:val="center"/>
              <w:rPr>
                <w:rFonts w:ascii="宋体" w:hAnsi="宋体"/>
                <w:bCs/>
                <w:szCs w:val="21"/>
              </w:rPr>
            </w:pPr>
            <w:r>
              <w:rPr>
                <w:rFonts w:hint="eastAsia" w:ascii="宋体" w:hAnsi="宋体"/>
                <w:bCs/>
                <w:szCs w:val="21"/>
              </w:rPr>
              <w:t>电源柜</w:t>
            </w:r>
          </w:p>
        </w:tc>
        <w:tc>
          <w:tcPr>
            <w:tcW w:w="668" w:type="pct"/>
            <w:vAlign w:val="center"/>
          </w:tcPr>
          <w:p>
            <w:pPr>
              <w:jc w:val="center"/>
              <w:rPr>
                <w:rFonts w:ascii="宋体" w:hAnsi="宋体"/>
                <w:bCs/>
                <w:szCs w:val="21"/>
              </w:rPr>
            </w:pPr>
            <w:r>
              <w:rPr>
                <w:rFonts w:hint="eastAsia"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81" w:type="pct"/>
            <w:vMerge w:val="continue"/>
            <w:vAlign w:val="center"/>
          </w:tcPr>
          <w:p>
            <w:pPr>
              <w:jc w:val="center"/>
              <w:rPr>
                <w:rFonts w:ascii="宋体" w:hAnsi="宋体"/>
                <w:szCs w:val="21"/>
              </w:rPr>
            </w:pPr>
          </w:p>
        </w:tc>
        <w:tc>
          <w:tcPr>
            <w:tcW w:w="1485" w:type="pct"/>
            <w:vMerge w:val="continue"/>
            <w:vAlign w:val="center"/>
          </w:tcPr>
          <w:p>
            <w:pPr>
              <w:jc w:val="center"/>
              <w:rPr>
                <w:rFonts w:ascii="宋体" w:hAnsi="宋体"/>
                <w:szCs w:val="21"/>
              </w:rPr>
            </w:pPr>
          </w:p>
        </w:tc>
        <w:tc>
          <w:tcPr>
            <w:tcW w:w="2066" w:type="pct"/>
            <w:vAlign w:val="center"/>
          </w:tcPr>
          <w:p>
            <w:pPr>
              <w:jc w:val="center"/>
              <w:rPr>
                <w:rFonts w:ascii="宋体" w:hAnsi="宋体"/>
                <w:bCs/>
                <w:szCs w:val="21"/>
              </w:rPr>
            </w:pPr>
            <w:r>
              <w:rPr>
                <w:rFonts w:hint="eastAsia" w:ascii="宋体" w:hAnsi="宋体"/>
                <w:bCs/>
                <w:szCs w:val="21"/>
              </w:rPr>
              <w:t>ATS系统仿真软件</w:t>
            </w:r>
          </w:p>
        </w:tc>
        <w:tc>
          <w:tcPr>
            <w:tcW w:w="668" w:type="pct"/>
            <w:vAlign w:val="center"/>
          </w:tcPr>
          <w:p>
            <w:pPr>
              <w:jc w:val="center"/>
              <w:rPr>
                <w:rFonts w:ascii="宋体" w:hAnsi="宋体"/>
                <w:bCs/>
                <w:szCs w:val="21"/>
              </w:rPr>
            </w:pPr>
            <w:r>
              <w:rPr>
                <w:rFonts w:hint="eastAsia" w:ascii="宋体" w:hAnsi="宋体"/>
                <w:bCs/>
                <w:szCs w:val="21"/>
              </w:rPr>
              <w:t>57</w:t>
            </w:r>
          </w:p>
        </w:tc>
      </w:tr>
    </w:tbl>
    <w:p>
      <w:pPr>
        <w:snapToGrid w:val="0"/>
        <w:spacing w:line="440" w:lineRule="exact"/>
        <w:ind w:firstLine="482" w:firstLineChars="200"/>
        <w:rPr>
          <w:rFonts w:ascii="宋体" w:hAnsi="宋体"/>
          <w:b/>
          <w:bCs/>
          <w:sz w:val="24"/>
        </w:rPr>
      </w:pPr>
      <w:r>
        <w:rPr>
          <w:rFonts w:hint="eastAsia" w:ascii="宋体" w:hAnsi="宋体"/>
          <w:b/>
          <w:bCs/>
          <w:sz w:val="24"/>
        </w:rPr>
        <w:t>3</w:t>
      </w:r>
      <w:r>
        <w:rPr>
          <w:rFonts w:ascii="宋体" w:hAnsi="宋体"/>
          <w:b/>
          <w:bCs/>
          <w:sz w:val="24"/>
        </w:rPr>
        <w:t>.校外实训基地基本要求</w:t>
      </w:r>
    </w:p>
    <w:p>
      <w:pPr>
        <w:snapToGrid w:val="0"/>
        <w:spacing w:line="440" w:lineRule="exact"/>
        <w:ind w:firstLine="480" w:firstLineChars="200"/>
        <w:rPr>
          <w:rFonts w:ascii="宋体" w:hAnsi="宋体"/>
          <w:bCs/>
          <w:sz w:val="24"/>
        </w:rPr>
      </w:pPr>
      <w:r>
        <w:rPr>
          <w:rFonts w:hint="eastAsia" w:ascii="宋体" w:hAnsi="宋体"/>
          <w:bCs/>
          <w:sz w:val="24"/>
        </w:rPr>
        <w:t>校外实训基地是培养学生职业技能和实际工作能力的重要场所，顶岗就业实训基地的岗位与专业方向对口，可接收</w:t>
      </w:r>
      <w:r>
        <w:rPr>
          <w:rFonts w:ascii="宋体" w:hAnsi="宋体"/>
          <w:bCs/>
          <w:sz w:val="24"/>
        </w:rPr>
        <w:t>5</w:t>
      </w:r>
      <w:r>
        <w:rPr>
          <w:rFonts w:ascii="宋体"/>
          <w:bCs/>
          <w:sz w:val="24"/>
        </w:rPr>
        <w:t>0</w:t>
      </w:r>
      <w:r>
        <w:rPr>
          <w:rFonts w:hint="eastAsia" w:ascii="宋体" w:hAnsi="宋体"/>
          <w:bCs/>
          <w:sz w:val="24"/>
        </w:rPr>
        <w:t>人以上学生顶岗实习，有成熟的运营路线与经营公司。实训基地软硬件设施都齐备且完善，硬件设施包含场地、设施、设备耗材、实习师资等，软件设施包含实习教学和实习基地的管理体制与机制。此外校外实训基地具备参观学习，校企师资互聘等条件。校外实训基地具有一条运营线路，含调度中心（</w:t>
      </w:r>
      <w:r>
        <w:rPr>
          <w:rFonts w:ascii="宋体" w:hAnsi="宋体"/>
          <w:bCs/>
          <w:sz w:val="24"/>
        </w:rPr>
        <w:t>OCC</w:t>
      </w:r>
      <w:r>
        <w:rPr>
          <w:rFonts w:hint="eastAsia" w:ascii="宋体" w:hAnsi="宋体"/>
          <w:bCs/>
          <w:sz w:val="24"/>
        </w:rPr>
        <w:t>）、车辆段（车场）和若干城轨车站。</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565"/>
        <w:gridCol w:w="2400"/>
        <w:gridCol w:w="2762"/>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83" w:type="pct"/>
            <w:shd w:val="clear" w:color="auto" w:fill="auto"/>
            <w:vAlign w:val="center"/>
          </w:tcPr>
          <w:p>
            <w:pPr>
              <w:widowControl/>
              <w:jc w:val="center"/>
              <w:rPr>
                <w:rFonts w:ascii="宋体" w:hAnsi="宋体" w:cs="Arial"/>
                <w:b/>
                <w:kern w:val="0"/>
                <w:szCs w:val="21"/>
              </w:rPr>
            </w:pPr>
            <w:r>
              <w:rPr>
                <w:rFonts w:hint="eastAsia" w:ascii="宋体" w:hAnsi="宋体" w:cs="Arial"/>
                <w:b/>
                <w:kern w:val="0"/>
                <w:szCs w:val="21"/>
              </w:rPr>
              <w:t>序号</w:t>
            </w:r>
          </w:p>
        </w:tc>
        <w:tc>
          <w:tcPr>
            <w:tcW w:w="1340" w:type="pct"/>
            <w:shd w:val="clear" w:color="auto" w:fill="auto"/>
            <w:vAlign w:val="center"/>
          </w:tcPr>
          <w:p>
            <w:pPr>
              <w:widowControl/>
              <w:jc w:val="center"/>
              <w:rPr>
                <w:rFonts w:ascii="宋体" w:hAnsi="宋体" w:cs="Arial"/>
                <w:b/>
                <w:kern w:val="0"/>
                <w:szCs w:val="21"/>
              </w:rPr>
            </w:pPr>
            <w:r>
              <w:rPr>
                <w:rFonts w:hint="eastAsia" w:ascii="宋体" w:hAnsi="宋体" w:cs="Arial"/>
                <w:b/>
                <w:kern w:val="0"/>
                <w:szCs w:val="21"/>
              </w:rPr>
              <w:t>企业类别</w:t>
            </w:r>
          </w:p>
        </w:tc>
        <w:tc>
          <w:tcPr>
            <w:tcW w:w="1254" w:type="pct"/>
            <w:shd w:val="clear" w:color="auto" w:fill="auto"/>
            <w:vAlign w:val="center"/>
          </w:tcPr>
          <w:p>
            <w:pPr>
              <w:widowControl/>
              <w:jc w:val="center"/>
              <w:rPr>
                <w:rFonts w:ascii="宋体" w:hAnsi="宋体" w:cs="Arial"/>
                <w:b/>
                <w:kern w:val="0"/>
                <w:szCs w:val="21"/>
              </w:rPr>
            </w:pPr>
            <w:r>
              <w:rPr>
                <w:rFonts w:hint="eastAsia" w:ascii="宋体" w:hAnsi="宋体" w:cs="Arial"/>
                <w:b/>
                <w:kern w:val="0"/>
                <w:szCs w:val="21"/>
              </w:rPr>
              <w:t>实习岗位</w:t>
            </w:r>
          </w:p>
        </w:tc>
        <w:tc>
          <w:tcPr>
            <w:tcW w:w="1443" w:type="pct"/>
            <w:shd w:val="clear" w:color="auto" w:fill="auto"/>
            <w:vAlign w:val="center"/>
          </w:tcPr>
          <w:p>
            <w:pPr>
              <w:widowControl/>
              <w:jc w:val="center"/>
              <w:rPr>
                <w:rFonts w:ascii="宋体" w:hAnsi="宋体" w:cs="Arial"/>
                <w:b/>
                <w:kern w:val="0"/>
                <w:szCs w:val="21"/>
              </w:rPr>
            </w:pPr>
            <w:r>
              <w:rPr>
                <w:rFonts w:hint="eastAsia" w:ascii="宋体" w:hAnsi="宋体" w:cs="Arial"/>
                <w:b/>
                <w:kern w:val="0"/>
                <w:szCs w:val="21"/>
              </w:rPr>
              <w:t>实习技能</w:t>
            </w:r>
          </w:p>
        </w:tc>
        <w:tc>
          <w:tcPr>
            <w:tcW w:w="580" w:type="pct"/>
            <w:shd w:val="clear" w:color="auto" w:fill="auto"/>
            <w:vAlign w:val="center"/>
          </w:tcPr>
          <w:p>
            <w:pPr>
              <w:widowControl/>
              <w:jc w:val="center"/>
              <w:rPr>
                <w:rFonts w:ascii="宋体" w:hAnsi="宋体" w:cs="Arial"/>
                <w:b/>
                <w:kern w:val="0"/>
                <w:szCs w:val="21"/>
              </w:rPr>
            </w:pPr>
            <w:r>
              <w:rPr>
                <w:rFonts w:ascii="宋体" w:hAnsi="宋体" w:cs="Arial"/>
                <w:b/>
                <w:kern w:val="0"/>
                <w:szCs w:val="21"/>
              </w:rPr>
              <w:t xml:space="preserve"> 学生数</w:t>
            </w:r>
          </w:p>
          <w:p>
            <w:pPr>
              <w:widowControl/>
              <w:jc w:val="center"/>
              <w:rPr>
                <w:rFonts w:ascii="宋体" w:hAnsi="宋体" w:cs="Arial"/>
                <w:b/>
                <w:kern w:val="0"/>
                <w:szCs w:val="21"/>
              </w:rPr>
            </w:pPr>
            <w:r>
              <w:rPr>
                <w:rFonts w:hint="eastAsia" w:ascii="宋体" w:hAnsi="宋体" w:cs="Arial"/>
                <w:b/>
                <w:kern w:val="0"/>
                <w:szCs w:val="21"/>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383" w:type="pct"/>
            <w:shd w:val="clear" w:color="auto" w:fill="auto"/>
            <w:vAlign w:val="center"/>
          </w:tcPr>
          <w:p>
            <w:pPr>
              <w:widowControl/>
              <w:jc w:val="center"/>
              <w:rPr>
                <w:rFonts w:ascii="宋体" w:hAnsi="宋体" w:cs="Arial"/>
                <w:kern w:val="0"/>
                <w:szCs w:val="21"/>
              </w:rPr>
            </w:pPr>
            <w:r>
              <w:rPr>
                <w:rFonts w:ascii="宋体" w:hAnsi="宋体" w:cs="Arial"/>
                <w:kern w:val="0"/>
                <w:szCs w:val="21"/>
              </w:rPr>
              <w:t>1</w:t>
            </w:r>
          </w:p>
        </w:tc>
        <w:tc>
          <w:tcPr>
            <w:tcW w:w="1340" w:type="pct"/>
            <w:vMerge w:val="restart"/>
            <w:shd w:val="clear" w:color="auto" w:fill="auto"/>
            <w:vAlign w:val="center"/>
          </w:tcPr>
          <w:p>
            <w:pPr>
              <w:widowControl/>
              <w:jc w:val="center"/>
              <w:rPr>
                <w:rFonts w:ascii="宋体" w:hAnsi="宋体" w:cs="Arial"/>
                <w:kern w:val="0"/>
                <w:szCs w:val="21"/>
              </w:rPr>
            </w:pPr>
            <w:r>
              <w:rPr>
                <w:rFonts w:hint="eastAsia" w:ascii="宋体" w:hAnsi="宋体" w:cs="Arial"/>
                <w:kern w:val="0"/>
                <w:szCs w:val="21"/>
              </w:rPr>
              <w:t>城轨运营管理类企业</w:t>
            </w:r>
          </w:p>
        </w:tc>
        <w:tc>
          <w:tcPr>
            <w:tcW w:w="1254" w:type="pct"/>
            <w:shd w:val="clear" w:color="auto" w:fill="auto"/>
            <w:vAlign w:val="center"/>
          </w:tcPr>
          <w:p>
            <w:pPr>
              <w:widowControl/>
              <w:jc w:val="left"/>
              <w:rPr>
                <w:rFonts w:ascii="宋体" w:hAnsi="宋体" w:cs="Arial"/>
                <w:kern w:val="0"/>
                <w:szCs w:val="21"/>
              </w:rPr>
            </w:pPr>
            <w:r>
              <w:rPr>
                <w:rFonts w:hint="eastAsia" w:ascii="宋体" w:hAnsi="宋体" w:cs="Arial"/>
                <w:kern w:val="0"/>
                <w:szCs w:val="21"/>
              </w:rPr>
              <w:t>车站站务员、行车值班员、客运值班员、车场信号楼值班员、行车调度员等运营岗位。</w:t>
            </w:r>
          </w:p>
        </w:tc>
        <w:tc>
          <w:tcPr>
            <w:tcW w:w="1443" w:type="pct"/>
            <w:shd w:val="clear" w:color="auto" w:fill="auto"/>
            <w:vAlign w:val="center"/>
          </w:tcPr>
          <w:p>
            <w:pPr>
              <w:widowControl/>
              <w:jc w:val="left"/>
              <w:rPr>
                <w:rFonts w:ascii="宋体" w:hAnsi="宋体" w:cs="Arial"/>
                <w:kern w:val="0"/>
                <w:szCs w:val="21"/>
              </w:rPr>
            </w:pPr>
            <w:r>
              <w:rPr>
                <w:rFonts w:hint="eastAsia" w:ascii="宋体" w:hAnsi="宋体" w:cs="Arial"/>
                <w:kern w:val="0"/>
                <w:szCs w:val="21"/>
              </w:rPr>
              <w:t>城市轨道交通客运组织及客运服务、票务组织、行车组织、车辆调度、运营安全管理。</w:t>
            </w:r>
          </w:p>
        </w:tc>
        <w:tc>
          <w:tcPr>
            <w:tcW w:w="580" w:type="pct"/>
            <w:shd w:val="clear" w:color="auto" w:fill="auto"/>
            <w:vAlign w:val="center"/>
          </w:tcPr>
          <w:p>
            <w:pPr>
              <w:widowControl/>
              <w:jc w:val="center"/>
              <w:rPr>
                <w:rFonts w:ascii="宋体" w:hAnsi="宋体" w:cs="Arial"/>
                <w:kern w:val="0"/>
                <w:szCs w:val="21"/>
              </w:rPr>
            </w:pPr>
            <w:r>
              <w:rPr>
                <w:rFonts w:ascii="宋体" w:hAnsi="宋体" w:cs="Arial"/>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shd w:val="clear" w:color="auto" w:fill="auto"/>
            <w:vAlign w:val="center"/>
          </w:tcPr>
          <w:p>
            <w:pPr>
              <w:widowControl/>
              <w:jc w:val="center"/>
              <w:rPr>
                <w:rFonts w:ascii="宋体" w:hAnsi="宋体" w:cs="Arial"/>
                <w:kern w:val="0"/>
                <w:szCs w:val="21"/>
              </w:rPr>
            </w:pPr>
            <w:r>
              <w:rPr>
                <w:rFonts w:ascii="宋体" w:hAnsi="宋体" w:cs="Arial"/>
                <w:kern w:val="0"/>
                <w:szCs w:val="21"/>
              </w:rPr>
              <w:t>2</w:t>
            </w:r>
          </w:p>
        </w:tc>
        <w:tc>
          <w:tcPr>
            <w:tcW w:w="1340" w:type="pct"/>
            <w:vMerge w:val="continue"/>
            <w:shd w:val="clear" w:color="auto" w:fill="auto"/>
            <w:vAlign w:val="center"/>
          </w:tcPr>
          <w:p>
            <w:pPr>
              <w:widowControl/>
              <w:jc w:val="center"/>
              <w:rPr>
                <w:rFonts w:ascii="宋体" w:hAnsi="宋体" w:cs="Arial"/>
                <w:kern w:val="0"/>
                <w:szCs w:val="21"/>
              </w:rPr>
            </w:pPr>
          </w:p>
        </w:tc>
        <w:tc>
          <w:tcPr>
            <w:tcW w:w="1254" w:type="pct"/>
            <w:shd w:val="clear" w:color="auto" w:fill="auto"/>
            <w:vAlign w:val="center"/>
          </w:tcPr>
          <w:p>
            <w:pPr>
              <w:widowControl/>
              <w:jc w:val="left"/>
              <w:rPr>
                <w:rFonts w:ascii="宋体" w:hAnsi="宋体" w:cs="Arial"/>
                <w:kern w:val="0"/>
                <w:szCs w:val="21"/>
              </w:rPr>
            </w:pPr>
            <w:r>
              <w:rPr>
                <w:rFonts w:hint="eastAsia" w:ascii="宋体" w:hAnsi="宋体" w:cs="Arial"/>
                <w:kern w:val="0"/>
                <w:szCs w:val="21"/>
              </w:rPr>
              <w:t>车站值班站长、车站站长等管理岗位。</w:t>
            </w:r>
          </w:p>
        </w:tc>
        <w:tc>
          <w:tcPr>
            <w:tcW w:w="1443" w:type="pct"/>
            <w:shd w:val="clear" w:color="auto" w:fill="auto"/>
            <w:vAlign w:val="center"/>
          </w:tcPr>
          <w:p>
            <w:pPr>
              <w:widowControl/>
              <w:jc w:val="left"/>
              <w:rPr>
                <w:rFonts w:ascii="宋体" w:hAnsi="宋体" w:cs="Arial"/>
                <w:kern w:val="0"/>
                <w:szCs w:val="21"/>
              </w:rPr>
            </w:pPr>
            <w:r>
              <w:rPr>
                <w:rFonts w:hint="eastAsia" w:ascii="宋体" w:hAnsi="宋体" w:cs="Arial"/>
                <w:kern w:val="0"/>
                <w:szCs w:val="21"/>
              </w:rPr>
              <w:t>组织站内员工开展车站各项工作、综合治理管理车站工作。</w:t>
            </w:r>
          </w:p>
        </w:tc>
        <w:tc>
          <w:tcPr>
            <w:tcW w:w="580" w:type="pct"/>
            <w:shd w:val="clear" w:color="auto" w:fill="auto"/>
            <w:vAlign w:val="center"/>
          </w:tcPr>
          <w:p>
            <w:pPr>
              <w:widowControl/>
              <w:jc w:val="center"/>
              <w:rPr>
                <w:rFonts w:ascii="宋体" w:hAnsi="宋体" w:cs="Arial"/>
                <w:kern w:val="0"/>
                <w:szCs w:val="21"/>
              </w:rPr>
            </w:pPr>
            <w:r>
              <w:rPr>
                <w:rFonts w:ascii="宋体" w:hAnsi="宋体" w:cs="Arial"/>
                <w:kern w:val="0"/>
                <w:szCs w:val="21"/>
              </w:rPr>
              <w:t>50</w:t>
            </w:r>
          </w:p>
        </w:tc>
      </w:tr>
    </w:tbl>
    <w:p>
      <w:pPr>
        <w:keepNext/>
        <w:keepLines/>
        <w:snapToGrid w:val="0"/>
        <w:spacing w:line="360" w:lineRule="auto"/>
        <w:ind w:firstLine="419" w:firstLineChars="174"/>
        <w:outlineLvl w:val="2"/>
        <w:rPr>
          <w:rFonts w:hint="eastAsia" w:ascii="宋体" w:hAnsi="宋体" w:cs="宋体"/>
          <w:b/>
          <w:bCs/>
          <w:kern w:val="44"/>
          <w:sz w:val="24"/>
        </w:rPr>
      </w:pPr>
      <w:r>
        <w:rPr>
          <w:rFonts w:hint="eastAsia" w:ascii="宋体" w:hAnsi="宋体" w:cs="宋体"/>
          <w:b/>
          <w:bCs/>
          <w:kern w:val="44"/>
          <w:sz w:val="24"/>
        </w:rPr>
        <w:t>（三）教学资源</w:t>
      </w:r>
    </w:p>
    <w:p>
      <w:pPr>
        <w:snapToGrid w:val="0"/>
        <w:spacing w:line="440" w:lineRule="exact"/>
        <w:ind w:firstLine="480" w:firstLineChars="200"/>
        <w:rPr>
          <w:rFonts w:ascii="宋体" w:hAnsi="宋体"/>
          <w:bCs/>
          <w:sz w:val="24"/>
        </w:rPr>
      </w:pPr>
      <w:r>
        <w:rPr>
          <w:rFonts w:hint="eastAsia" w:ascii="宋体" w:hAnsi="宋体"/>
          <w:bCs/>
          <w:sz w:val="24"/>
        </w:rPr>
        <w:t>本专业包括能够满足学生专业学习、教师专业教学研究和教学实施所需的各类教材、图书文献及数字教学资源等。</w:t>
      </w:r>
    </w:p>
    <w:p>
      <w:pPr>
        <w:snapToGrid w:val="0"/>
        <w:spacing w:line="440" w:lineRule="exact"/>
        <w:ind w:firstLine="482" w:firstLineChars="200"/>
        <w:rPr>
          <w:rFonts w:ascii="宋体" w:hAnsi="宋体"/>
          <w:b/>
          <w:bCs/>
          <w:sz w:val="24"/>
        </w:rPr>
      </w:pPr>
      <w:r>
        <w:rPr>
          <w:rFonts w:ascii="宋体" w:hAnsi="宋体"/>
          <w:b/>
          <w:bCs/>
          <w:sz w:val="24"/>
        </w:rPr>
        <w:t>1．教材选用基本要求</w:t>
      </w:r>
    </w:p>
    <w:p>
      <w:pPr>
        <w:snapToGrid w:val="0"/>
        <w:spacing w:line="440" w:lineRule="exact"/>
        <w:ind w:firstLine="480" w:firstLineChars="200"/>
        <w:rPr>
          <w:rFonts w:ascii="宋体" w:hAnsi="宋体"/>
          <w:bCs/>
          <w:sz w:val="24"/>
        </w:rPr>
      </w:pPr>
      <w:r>
        <w:rPr>
          <w:rFonts w:hint="eastAsia" w:ascii="宋体" w:hAnsi="宋体"/>
          <w:bCs/>
          <w:sz w:val="24"/>
        </w:rPr>
        <w:t>按照国家规定选用优质教材，禁止不合格的教材进入课堂。按照学校教材管理规定，选择国家规划教材或省重点教材，自选、自编教材经学校教学委员会立项审批审核通过后使用。鼓励教师结合我校学生实际能力水平，与行业专家等共同编写、出版教材，相关课程优先选用我校教师自编教材。教材重点关注新形态教材的使用，以及新型活页式教材、工作手册式教材的开发。备有其他出版社优秀教材和本科教材作为教参。</w:t>
      </w:r>
    </w:p>
    <w:p>
      <w:pPr>
        <w:snapToGrid w:val="0"/>
        <w:spacing w:line="440" w:lineRule="exact"/>
        <w:ind w:firstLine="482" w:firstLineChars="200"/>
        <w:rPr>
          <w:rFonts w:ascii="宋体" w:hAnsi="宋体"/>
          <w:b/>
          <w:bCs/>
          <w:sz w:val="24"/>
        </w:rPr>
      </w:pPr>
      <w:r>
        <w:rPr>
          <w:rFonts w:ascii="宋体" w:hAnsi="宋体"/>
          <w:b/>
          <w:bCs/>
          <w:sz w:val="24"/>
        </w:rPr>
        <w:t>2．图书文献配备基本要求</w:t>
      </w:r>
    </w:p>
    <w:p>
      <w:pPr>
        <w:snapToGrid w:val="0"/>
        <w:spacing w:line="440" w:lineRule="exact"/>
        <w:ind w:firstLine="480" w:firstLineChars="200"/>
        <w:rPr>
          <w:rFonts w:ascii="宋体" w:hAnsi="宋体"/>
          <w:bCs/>
          <w:sz w:val="24"/>
        </w:rPr>
      </w:pPr>
      <w:r>
        <w:rPr>
          <w:rFonts w:hint="eastAsia" w:ascii="宋体" w:hAnsi="宋体"/>
          <w:bCs/>
          <w:sz w:val="24"/>
        </w:rPr>
        <w:t>学校图书文献配备能基本满足人才培养、专业建设、教科研等工作需要，方便师生查询、借阅。专业类图书文献主要包括：城市轨道交通行业政策法规、行业标准、技术规范以及相关专业技术手册等；城市轨道交通运营管理专业类图书和实务案例类图书若干套，</w:t>
      </w:r>
      <w:r>
        <w:rPr>
          <w:rFonts w:ascii="宋体" w:hAnsi="宋体"/>
          <w:bCs/>
          <w:sz w:val="24"/>
        </w:rPr>
        <w:t>2种以上城市轨道交通运营管理类专业学术期刊。</w:t>
      </w:r>
    </w:p>
    <w:p>
      <w:pPr>
        <w:snapToGrid w:val="0"/>
        <w:spacing w:line="440" w:lineRule="exact"/>
        <w:ind w:firstLine="482" w:firstLineChars="200"/>
        <w:rPr>
          <w:rFonts w:ascii="宋体" w:hAnsi="宋体"/>
          <w:b/>
          <w:bCs/>
          <w:sz w:val="24"/>
        </w:rPr>
      </w:pPr>
      <w:r>
        <w:rPr>
          <w:rFonts w:ascii="宋体" w:hAnsi="宋体"/>
          <w:b/>
          <w:bCs/>
          <w:sz w:val="24"/>
        </w:rPr>
        <w:t>3．数字教学资源配置基本要求</w:t>
      </w:r>
    </w:p>
    <w:p>
      <w:pPr>
        <w:snapToGrid w:val="0"/>
        <w:spacing w:line="440" w:lineRule="exact"/>
        <w:ind w:firstLine="480" w:firstLineChars="200"/>
        <w:rPr>
          <w:rFonts w:ascii="宋体" w:hAnsi="宋体"/>
          <w:bCs/>
          <w:sz w:val="24"/>
        </w:rPr>
      </w:pPr>
      <w:r>
        <w:rPr>
          <w:rFonts w:hint="eastAsia" w:ascii="宋体" w:hAnsi="宋体"/>
          <w:bCs/>
          <w:sz w:val="24"/>
        </w:rPr>
        <w:t>本专业建设、配备与专业有关的音视频素材、教学课件、数字化教学案例库、虚拟仿真软件、数字教材等专业教学资源库，种类丰富、形式多样、使用便捷、动态更新，能满足教学要求。</w:t>
      </w:r>
    </w:p>
    <w:p>
      <w:pPr>
        <w:keepNext/>
        <w:keepLines/>
        <w:snapToGrid w:val="0"/>
        <w:spacing w:line="360" w:lineRule="auto"/>
        <w:ind w:firstLine="419" w:firstLineChars="174"/>
        <w:outlineLvl w:val="2"/>
        <w:rPr>
          <w:rFonts w:hint="eastAsia" w:ascii="宋体" w:hAnsi="宋体" w:cs="宋体"/>
          <w:b/>
          <w:bCs/>
          <w:kern w:val="44"/>
          <w:sz w:val="24"/>
        </w:rPr>
      </w:pPr>
      <w:r>
        <w:rPr>
          <w:rFonts w:hint="eastAsia" w:ascii="宋体" w:hAnsi="宋体" w:cs="宋体"/>
          <w:b/>
          <w:bCs/>
          <w:kern w:val="44"/>
          <w:sz w:val="24"/>
        </w:rPr>
        <w:t>（四）教学方法</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依据专业培养目标、课程教学要求，结合课程教学目标和课程特点以及有关学情和教学资源，选择合适的最优化的教学法。综合考虑教学效果和教学可操作性等因素，多数课程采用讲授法、混合教学法、分组讨论法、案例教学法、任务驱动法、现场教学法等多种形式。坚持学中做、做中学，倡导因材施教、因需施教，鼓励创新教学方法和策略。根据内容特点和学生特点，以学生为中心，合理选择教学方法，教师起引导作用。学校鼓励信息技术在教育教学中的应用，通过改进教学方法，达成预期教学目标。</w:t>
      </w:r>
    </w:p>
    <w:p>
      <w:pPr>
        <w:keepNext/>
        <w:keepLines/>
        <w:snapToGrid w:val="0"/>
        <w:spacing w:line="360" w:lineRule="auto"/>
        <w:ind w:firstLine="419" w:firstLineChars="174"/>
        <w:outlineLvl w:val="2"/>
        <w:rPr>
          <w:rFonts w:hint="eastAsia" w:ascii="宋体" w:hAnsi="宋体" w:cs="宋体"/>
          <w:b/>
          <w:bCs/>
          <w:kern w:val="44"/>
          <w:sz w:val="24"/>
        </w:rPr>
      </w:pPr>
      <w:r>
        <w:rPr>
          <w:rFonts w:hint="eastAsia" w:ascii="宋体" w:hAnsi="宋体" w:cs="宋体"/>
          <w:b/>
          <w:bCs/>
          <w:kern w:val="44"/>
          <w:sz w:val="24"/>
          <w:lang w:eastAsia="zh-CN"/>
        </w:rPr>
        <w:t>（</w:t>
      </w:r>
      <w:r>
        <w:rPr>
          <w:rFonts w:hint="eastAsia" w:ascii="宋体" w:hAnsi="宋体" w:cs="宋体"/>
          <w:b/>
          <w:bCs/>
          <w:kern w:val="44"/>
          <w:sz w:val="24"/>
          <w:lang w:val="en-US" w:eastAsia="zh-CN"/>
        </w:rPr>
        <w:t>五</w:t>
      </w:r>
      <w:r>
        <w:rPr>
          <w:rFonts w:hint="eastAsia" w:ascii="宋体" w:hAnsi="宋体" w:cs="宋体"/>
          <w:b/>
          <w:bCs/>
          <w:kern w:val="44"/>
          <w:sz w:val="24"/>
          <w:lang w:eastAsia="zh-CN"/>
        </w:rPr>
        <w:t>）</w:t>
      </w:r>
      <w:r>
        <w:rPr>
          <w:rFonts w:hint="eastAsia" w:ascii="宋体" w:hAnsi="宋体" w:cs="宋体"/>
          <w:b/>
          <w:bCs/>
          <w:kern w:val="44"/>
          <w:sz w:val="24"/>
        </w:rPr>
        <w:t>学习评价</w:t>
      </w:r>
    </w:p>
    <w:p>
      <w:pPr>
        <w:snapToGrid w:val="0"/>
        <w:spacing w:line="440" w:lineRule="exact"/>
        <w:ind w:firstLine="480" w:firstLineChars="200"/>
        <w:rPr>
          <w:rFonts w:ascii="宋体" w:hAnsi="宋体"/>
          <w:bCs/>
          <w:sz w:val="24"/>
        </w:rPr>
      </w:pPr>
      <w:r>
        <w:rPr>
          <w:rFonts w:hint="eastAsia" w:ascii="宋体" w:hAnsi="宋体"/>
          <w:bCs/>
          <w:sz w:val="24"/>
        </w:rPr>
        <w:t>兼顾认知、技能、素养等方面，采取观察、笔试、技能操作、职业技能竞赛、职业资格鉴定等评价方式，建立多元化考核、评价方式，注重过程性评价。</w:t>
      </w:r>
    </w:p>
    <w:p>
      <w:pPr>
        <w:keepNext/>
        <w:keepLines/>
        <w:snapToGrid w:val="0"/>
        <w:spacing w:line="360" w:lineRule="auto"/>
        <w:ind w:firstLine="419" w:firstLineChars="174"/>
        <w:outlineLvl w:val="2"/>
        <w:rPr>
          <w:rFonts w:hint="eastAsia" w:ascii="宋体" w:hAnsi="宋体" w:cs="宋体"/>
          <w:b/>
          <w:bCs/>
          <w:kern w:val="44"/>
          <w:sz w:val="24"/>
        </w:rPr>
      </w:pPr>
      <w:r>
        <w:rPr>
          <w:rFonts w:hint="eastAsia" w:ascii="宋体" w:hAnsi="宋体" w:cs="宋体"/>
          <w:b/>
          <w:bCs/>
          <w:kern w:val="44"/>
          <w:sz w:val="24"/>
        </w:rPr>
        <w:t>（六）质量管理</w:t>
      </w:r>
    </w:p>
    <w:p>
      <w:pPr>
        <w:numPr>
          <w:ilvl w:val="255"/>
          <w:numId w:val="0"/>
        </w:numPr>
        <w:snapToGrid w:val="0"/>
        <w:spacing w:line="440" w:lineRule="exact"/>
        <w:ind w:firstLine="480" w:firstLineChars="200"/>
        <w:rPr>
          <w:rFonts w:ascii="宋体" w:hAnsi="宋体"/>
          <w:bCs/>
          <w:sz w:val="24"/>
        </w:rPr>
      </w:pPr>
      <w:r>
        <w:rPr>
          <w:rFonts w:hint="eastAsia" w:ascii="宋体" w:hAnsi="宋体"/>
          <w:bCs/>
          <w:sz w:val="24"/>
        </w:rPr>
        <w:t>1.学校和二级学院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numPr>
          <w:ilvl w:val="255"/>
          <w:numId w:val="0"/>
        </w:numPr>
        <w:snapToGrid w:val="0"/>
        <w:spacing w:line="440" w:lineRule="exact"/>
        <w:ind w:firstLine="480" w:firstLineChars="200"/>
        <w:rPr>
          <w:rFonts w:ascii="宋体" w:hAnsi="宋体"/>
          <w:bCs/>
          <w:sz w:val="24"/>
        </w:rPr>
      </w:pPr>
      <w:r>
        <w:rPr>
          <w:rFonts w:hint="eastAsia" w:ascii="宋体" w:hAnsi="宋体"/>
          <w:bCs/>
          <w:sz w:val="24"/>
        </w:rPr>
        <w:t>2.学校和二级学院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numPr>
          <w:ilvl w:val="255"/>
          <w:numId w:val="0"/>
        </w:numPr>
        <w:snapToGrid w:val="0"/>
        <w:spacing w:line="440" w:lineRule="exact"/>
        <w:ind w:firstLine="480" w:firstLineChars="200"/>
        <w:rPr>
          <w:rFonts w:ascii="宋体" w:hAnsi="宋体"/>
          <w:bCs/>
          <w:sz w:val="24"/>
        </w:rPr>
      </w:pPr>
      <w:r>
        <w:rPr>
          <w:rFonts w:hint="eastAsia" w:ascii="宋体" w:hAnsi="宋体"/>
          <w:bCs/>
          <w:sz w:val="24"/>
        </w:rPr>
        <w:t>3.学校建立毕业生跟踪反馈机制与社会评价机制，并对生源情况、在校生学业水平、毕业生就业情况等进行分析，定期评价人才培养质量和培养目标达成情况。</w:t>
      </w:r>
    </w:p>
    <w:p>
      <w:pPr>
        <w:numPr>
          <w:ilvl w:val="255"/>
          <w:numId w:val="0"/>
        </w:numPr>
        <w:snapToGrid w:val="0"/>
        <w:spacing w:line="440" w:lineRule="exact"/>
        <w:ind w:firstLine="480" w:firstLineChars="200"/>
        <w:rPr>
          <w:rFonts w:ascii="宋体" w:hAnsi="宋体"/>
          <w:bCs/>
          <w:sz w:val="24"/>
        </w:rPr>
      </w:pPr>
      <w:r>
        <w:rPr>
          <w:rFonts w:hint="eastAsia" w:ascii="宋体" w:hAnsi="宋体"/>
          <w:bCs/>
          <w:sz w:val="24"/>
        </w:rPr>
        <w:t>4.专业充分利用评价分析结果有效改进专业教学，充分把信息技术融合在教学过程中，并通过城轨创新教学团队、城轨专业创新班和城轨专业社团建设、产教融合、现代学徒制、订单班培养等新型举措，持续提高人才培养质量。</w:t>
      </w:r>
    </w:p>
    <w:p>
      <w:pPr>
        <w:rPr>
          <w:rStyle w:val="47"/>
        </w:rPr>
      </w:pPr>
    </w:p>
    <w:p>
      <w:pPr>
        <w:keepNext/>
        <w:keepLines/>
        <w:snapToGrid w:val="0"/>
        <w:spacing w:before="156" w:beforeLines="50" w:after="156" w:afterLines="50" w:line="440" w:lineRule="exact"/>
        <w:outlineLvl w:val="1"/>
        <w:rPr>
          <w:rFonts w:hint="eastAsia" w:ascii="宋体" w:hAnsi="宋体" w:cs="宋体"/>
          <w:b/>
          <w:bCs/>
          <w:kern w:val="44"/>
          <w:sz w:val="28"/>
          <w:szCs w:val="28"/>
        </w:rPr>
      </w:pPr>
      <w:r>
        <w:rPr>
          <w:rFonts w:hint="eastAsia" w:ascii="宋体" w:hAnsi="宋体" w:cs="宋体"/>
          <w:b/>
          <w:bCs/>
          <w:kern w:val="44"/>
          <w:sz w:val="28"/>
          <w:szCs w:val="28"/>
        </w:rPr>
        <w:t>九、毕业</w:t>
      </w:r>
      <w:bookmarkEnd w:id="15"/>
      <w:bookmarkEnd w:id="16"/>
      <w:bookmarkEnd w:id="17"/>
      <w:r>
        <w:rPr>
          <w:rFonts w:hint="eastAsia" w:ascii="宋体" w:hAnsi="宋体" w:cs="宋体"/>
          <w:b/>
          <w:bCs/>
          <w:kern w:val="44"/>
          <w:sz w:val="28"/>
          <w:szCs w:val="28"/>
        </w:rPr>
        <w:t>要求</w:t>
      </w:r>
    </w:p>
    <w:p>
      <w:pPr>
        <w:keepNext/>
        <w:keepLines/>
        <w:snapToGrid w:val="0"/>
        <w:spacing w:line="360" w:lineRule="auto"/>
        <w:ind w:firstLine="419" w:firstLineChars="174"/>
        <w:outlineLvl w:val="2"/>
        <w:rPr>
          <w:rFonts w:hint="eastAsia" w:ascii="宋体" w:hAnsi="宋体" w:cs="宋体"/>
          <w:b/>
          <w:bCs/>
          <w:kern w:val="44"/>
          <w:sz w:val="24"/>
        </w:rPr>
      </w:pPr>
      <w:bookmarkStart w:id="18" w:name="_Toc448835391"/>
      <w:r>
        <w:rPr>
          <w:rFonts w:hint="eastAsia" w:ascii="宋体" w:hAnsi="宋体" w:cs="宋体"/>
          <w:b/>
          <w:bCs/>
          <w:kern w:val="44"/>
          <w:sz w:val="24"/>
        </w:rPr>
        <w:t>（一）</w:t>
      </w:r>
      <w:bookmarkEnd w:id="18"/>
      <w:r>
        <w:rPr>
          <w:rFonts w:hint="eastAsia" w:ascii="宋体" w:hAnsi="宋体" w:cs="宋体"/>
          <w:b/>
          <w:bCs/>
          <w:kern w:val="44"/>
          <w:sz w:val="24"/>
        </w:rPr>
        <w:t>学时学分要求</w:t>
      </w:r>
    </w:p>
    <w:p>
      <w:pPr>
        <w:snapToGrid w:val="0"/>
        <w:spacing w:line="440" w:lineRule="exact"/>
        <w:ind w:firstLine="480" w:firstLineChars="200"/>
        <w:rPr>
          <w:rFonts w:hint="eastAsia" w:ascii="宋体"/>
          <w:sz w:val="24"/>
        </w:rPr>
      </w:pPr>
      <w:r>
        <w:rPr>
          <w:rFonts w:hint="eastAsia" w:ascii="宋体" w:hAnsi="宋体"/>
          <w:bCs/>
          <w:sz w:val="24"/>
        </w:rPr>
        <w:t>中职转入考核要求</w:t>
      </w:r>
      <w:r>
        <w:rPr>
          <w:rFonts w:hint="eastAsia" w:ascii="宋体"/>
          <w:bCs/>
          <w:sz w:val="24"/>
        </w:rPr>
        <w:t>:</w:t>
      </w:r>
      <w:r>
        <w:rPr>
          <w:rFonts w:hint="eastAsia" w:ascii="宋体"/>
          <w:sz w:val="24"/>
        </w:rPr>
        <w:t>符合绍兴职业技术学院《中高职一体化五年制职业教育学生转入考核办法》。</w:t>
      </w:r>
    </w:p>
    <w:tbl>
      <w:tblPr>
        <w:tblStyle w:val="24"/>
        <w:tblW w:w="85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74"/>
        <w:gridCol w:w="1341"/>
        <w:gridCol w:w="1340"/>
        <w:gridCol w:w="1342"/>
        <w:gridCol w:w="1340"/>
        <w:gridCol w:w="1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jc w:val="center"/>
        </w:trPr>
        <w:tc>
          <w:tcPr>
            <w:tcW w:w="3215"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类别</w:t>
            </w:r>
          </w:p>
        </w:tc>
        <w:tc>
          <w:tcPr>
            <w:tcW w:w="2682"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毕业学时要求</w:t>
            </w:r>
          </w:p>
        </w:tc>
        <w:tc>
          <w:tcPr>
            <w:tcW w:w="2682"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毕业学分要求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7" w:hRule="atLeast"/>
          <w:jc w:val="center"/>
        </w:trPr>
        <w:tc>
          <w:tcPr>
            <w:tcW w:w="3215" w:type="dxa"/>
            <w:gridSpan w:val="2"/>
            <w:vMerge w:val="continue"/>
            <w:tcBorders>
              <w:tl2br w:val="nil"/>
              <w:tr2bl w:val="nil"/>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学时数</w:t>
            </w:r>
          </w:p>
        </w:tc>
        <w:tc>
          <w:tcPr>
            <w:tcW w:w="13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比例</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学分数</w:t>
            </w:r>
          </w:p>
        </w:tc>
        <w:tc>
          <w:tcPr>
            <w:tcW w:w="13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874"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公共基础课程</w:t>
            </w:r>
          </w:p>
        </w:tc>
        <w:tc>
          <w:tcPr>
            <w:tcW w:w="1341"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必修课</w:t>
            </w:r>
          </w:p>
        </w:tc>
        <w:tc>
          <w:tcPr>
            <w:tcW w:w="1340"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w:t>
            </w:r>
          </w:p>
        </w:tc>
        <w:tc>
          <w:tcPr>
            <w:tcW w:w="1342"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57.78%</w:t>
            </w:r>
          </w:p>
        </w:tc>
        <w:tc>
          <w:tcPr>
            <w:tcW w:w="1340"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342"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874" w:type="dxa"/>
            <w:vMerge w:val="restart"/>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专业（技能）课程</w:t>
            </w:r>
          </w:p>
        </w:tc>
        <w:tc>
          <w:tcPr>
            <w:tcW w:w="1341"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融通课</w:t>
            </w:r>
          </w:p>
        </w:tc>
        <w:tc>
          <w:tcPr>
            <w:tcW w:w="1340"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c>
          <w:tcPr>
            <w:tcW w:w="1342"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14.44%</w:t>
            </w:r>
          </w:p>
        </w:tc>
        <w:tc>
          <w:tcPr>
            <w:tcW w:w="1340"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342"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8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41"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核心课</w:t>
            </w:r>
          </w:p>
        </w:tc>
        <w:tc>
          <w:tcPr>
            <w:tcW w:w="1340"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1342"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340"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342"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87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41"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拓展课</w:t>
            </w:r>
          </w:p>
        </w:tc>
        <w:tc>
          <w:tcPr>
            <w:tcW w:w="1340"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w:t>
            </w:r>
          </w:p>
        </w:tc>
        <w:tc>
          <w:tcPr>
            <w:tcW w:w="1342"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12.78%</w:t>
            </w:r>
          </w:p>
        </w:tc>
        <w:tc>
          <w:tcPr>
            <w:tcW w:w="1340"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342"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215" w:type="dxa"/>
            <w:gridSpan w:val="2"/>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340"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3600</w:t>
            </w:r>
          </w:p>
        </w:tc>
        <w:tc>
          <w:tcPr>
            <w:tcW w:w="1342"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342" w:type="dxa"/>
            <w:tcBorders>
              <w:tl2br w:val="nil"/>
              <w:tr2bl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bl>
    <w:p>
      <w:pPr>
        <w:snapToGrid w:val="0"/>
        <w:spacing w:line="440" w:lineRule="exact"/>
        <w:ind w:firstLine="480" w:firstLineChars="200"/>
        <w:rPr>
          <w:rFonts w:hint="eastAsia" w:ascii="宋体"/>
          <w:sz w:val="24"/>
        </w:rPr>
      </w:pPr>
    </w:p>
    <w:p>
      <w:pPr>
        <w:keepNext/>
        <w:keepLines/>
        <w:snapToGrid w:val="0"/>
        <w:spacing w:before="156" w:beforeLines="50" w:after="156" w:afterLines="50" w:line="440" w:lineRule="exact"/>
        <w:ind w:firstLine="419" w:firstLineChars="174"/>
        <w:outlineLvl w:val="2"/>
        <w:rPr>
          <w:rFonts w:ascii="宋体" w:cs="宋体"/>
          <w:b/>
          <w:bCs/>
          <w:kern w:val="44"/>
          <w:sz w:val="24"/>
        </w:rPr>
      </w:pPr>
      <w:r>
        <w:rPr>
          <w:rFonts w:hint="eastAsia" w:ascii="宋体" w:hAnsi="宋体" w:cs="宋体"/>
          <w:b/>
          <w:bCs/>
          <w:kern w:val="44"/>
          <w:sz w:val="24"/>
        </w:rPr>
        <w:t>（二）证书要求</w:t>
      </w:r>
    </w:p>
    <w:p>
      <w:pPr>
        <w:snapToGrid w:val="0"/>
        <w:spacing w:line="440" w:lineRule="exact"/>
        <w:ind w:firstLine="480" w:firstLineChars="200"/>
        <w:rPr>
          <w:rFonts w:hint="eastAsia" w:ascii="宋体" w:hAnsi="宋体"/>
          <w:bCs/>
          <w:sz w:val="24"/>
        </w:rPr>
      </w:pPr>
      <w:r>
        <w:rPr>
          <w:rFonts w:hint="eastAsia" w:ascii="宋体" w:hAnsi="宋体"/>
          <w:bCs/>
          <w:sz w:val="24"/>
        </w:rPr>
        <w:t>必须至少取得低压电工作业证方可毕业，鼓励学生选考下列证书：英语等级考试（三级）、普通话等级证书（二乙）、红十字会急救员证、初级消防设施操作员证、特种设备作业人员证（电梯安全管理员）、城市轨道交通站务职业技能等级证书等相应职业资格（或行业）与职业技能证书。</w:t>
      </w:r>
    </w:p>
    <w:tbl>
      <w:tblPr>
        <w:tblStyle w:val="24"/>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636"/>
        <w:gridCol w:w="1783"/>
        <w:gridCol w:w="1109"/>
        <w:gridCol w:w="850"/>
        <w:gridCol w:w="1641"/>
        <w:gridCol w:w="734"/>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blHeader/>
          <w:jc w:val="center"/>
        </w:trPr>
        <w:tc>
          <w:tcPr>
            <w:tcW w:w="567" w:type="dxa"/>
            <w:vMerge w:val="restart"/>
            <w:vAlign w:val="center"/>
          </w:tcPr>
          <w:p>
            <w:pPr>
              <w:snapToGrid w:val="0"/>
              <w:jc w:val="center"/>
              <w:rPr>
                <w:rFonts w:ascii="宋体"/>
                <w:b/>
                <w:sz w:val="21"/>
                <w:szCs w:val="21"/>
              </w:rPr>
            </w:pPr>
            <w:r>
              <w:rPr>
                <w:rFonts w:hint="eastAsia" w:ascii="宋体" w:hAnsi="宋体"/>
                <w:b/>
                <w:sz w:val="21"/>
                <w:szCs w:val="21"/>
              </w:rPr>
              <w:t>序号</w:t>
            </w:r>
          </w:p>
        </w:tc>
        <w:tc>
          <w:tcPr>
            <w:tcW w:w="1636" w:type="dxa"/>
            <w:vMerge w:val="restart"/>
            <w:vAlign w:val="center"/>
          </w:tcPr>
          <w:p>
            <w:pPr>
              <w:snapToGrid w:val="0"/>
              <w:jc w:val="center"/>
              <w:rPr>
                <w:rFonts w:ascii="宋体"/>
                <w:b/>
                <w:sz w:val="21"/>
                <w:szCs w:val="21"/>
              </w:rPr>
            </w:pPr>
            <w:r>
              <w:rPr>
                <w:rFonts w:hint="eastAsia" w:ascii="宋体" w:hAnsi="宋体"/>
                <w:b/>
                <w:sz w:val="21"/>
                <w:szCs w:val="21"/>
              </w:rPr>
              <w:t>证书/标准名称</w:t>
            </w:r>
          </w:p>
        </w:tc>
        <w:tc>
          <w:tcPr>
            <w:tcW w:w="1783" w:type="dxa"/>
            <w:vMerge w:val="restart"/>
            <w:vAlign w:val="center"/>
          </w:tcPr>
          <w:p>
            <w:pPr>
              <w:snapToGrid w:val="0"/>
              <w:jc w:val="center"/>
              <w:rPr>
                <w:rFonts w:ascii="宋体"/>
                <w:b/>
                <w:sz w:val="21"/>
                <w:szCs w:val="21"/>
              </w:rPr>
            </w:pPr>
            <w:r>
              <w:rPr>
                <w:rFonts w:hint="eastAsia" w:ascii="宋体" w:hAnsi="宋体"/>
                <w:b/>
                <w:sz w:val="21"/>
                <w:szCs w:val="21"/>
              </w:rPr>
              <w:t>颁证机构</w:t>
            </w:r>
          </w:p>
        </w:tc>
        <w:tc>
          <w:tcPr>
            <w:tcW w:w="1109" w:type="dxa"/>
            <w:vMerge w:val="restart"/>
            <w:vAlign w:val="center"/>
          </w:tcPr>
          <w:p>
            <w:pPr>
              <w:snapToGrid w:val="0"/>
              <w:jc w:val="center"/>
              <w:rPr>
                <w:rFonts w:ascii="宋体"/>
                <w:b/>
                <w:sz w:val="21"/>
                <w:szCs w:val="21"/>
              </w:rPr>
            </w:pPr>
            <w:r>
              <w:rPr>
                <w:rFonts w:hint="eastAsia" w:ascii="宋体" w:hAnsi="宋体"/>
                <w:b/>
                <w:sz w:val="21"/>
                <w:szCs w:val="21"/>
              </w:rPr>
              <w:t>等级要求</w:t>
            </w:r>
          </w:p>
        </w:tc>
        <w:tc>
          <w:tcPr>
            <w:tcW w:w="850" w:type="dxa"/>
            <w:vMerge w:val="restart"/>
            <w:vAlign w:val="center"/>
          </w:tcPr>
          <w:p>
            <w:pPr>
              <w:snapToGrid w:val="0"/>
              <w:jc w:val="center"/>
              <w:rPr>
                <w:rFonts w:ascii="宋体" w:hAnsi="宋体"/>
                <w:b/>
                <w:sz w:val="21"/>
                <w:szCs w:val="21"/>
              </w:rPr>
            </w:pPr>
            <w:r>
              <w:rPr>
                <w:rFonts w:hint="eastAsia" w:ascii="宋体" w:hAnsi="宋体"/>
                <w:b/>
                <w:sz w:val="21"/>
                <w:szCs w:val="21"/>
              </w:rPr>
              <w:t>可认定学分数</w:t>
            </w:r>
          </w:p>
        </w:tc>
        <w:tc>
          <w:tcPr>
            <w:tcW w:w="1641" w:type="dxa"/>
            <w:vMerge w:val="restart"/>
            <w:vAlign w:val="center"/>
          </w:tcPr>
          <w:p>
            <w:pPr>
              <w:snapToGrid w:val="0"/>
              <w:jc w:val="center"/>
              <w:rPr>
                <w:rFonts w:ascii="宋体" w:hAnsi="宋体"/>
                <w:b/>
                <w:sz w:val="21"/>
                <w:szCs w:val="21"/>
              </w:rPr>
            </w:pPr>
            <w:r>
              <w:rPr>
                <w:rFonts w:hint="eastAsia" w:ascii="宋体" w:hAnsi="宋体"/>
                <w:b/>
                <w:sz w:val="21"/>
                <w:szCs w:val="21"/>
              </w:rPr>
              <w:t>可替代课程名称</w:t>
            </w:r>
          </w:p>
        </w:tc>
        <w:tc>
          <w:tcPr>
            <w:tcW w:w="1467" w:type="dxa"/>
            <w:gridSpan w:val="2"/>
            <w:vAlign w:val="center"/>
          </w:tcPr>
          <w:p>
            <w:pPr>
              <w:snapToGrid w:val="0"/>
              <w:jc w:val="center"/>
              <w:rPr>
                <w:rFonts w:ascii="宋体"/>
                <w:b/>
                <w:sz w:val="21"/>
                <w:szCs w:val="21"/>
              </w:rPr>
            </w:pPr>
            <w:r>
              <w:rPr>
                <w:rFonts w:hint="eastAsia" w:ascii="宋体" w:hAnsi="宋体"/>
                <w:b/>
                <w:sz w:val="21"/>
                <w:szCs w:val="21"/>
              </w:rPr>
              <w:t>获证要求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blHeader/>
          <w:jc w:val="center"/>
        </w:trPr>
        <w:tc>
          <w:tcPr>
            <w:tcW w:w="567" w:type="dxa"/>
            <w:vMerge w:val="continue"/>
            <w:vAlign w:val="center"/>
          </w:tcPr>
          <w:p>
            <w:pPr>
              <w:snapToGrid w:val="0"/>
              <w:jc w:val="center"/>
              <w:rPr>
                <w:rFonts w:ascii="宋体"/>
                <w:b/>
                <w:sz w:val="21"/>
                <w:szCs w:val="21"/>
              </w:rPr>
            </w:pPr>
          </w:p>
        </w:tc>
        <w:tc>
          <w:tcPr>
            <w:tcW w:w="1636" w:type="dxa"/>
            <w:vMerge w:val="continue"/>
            <w:vAlign w:val="center"/>
          </w:tcPr>
          <w:p>
            <w:pPr>
              <w:snapToGrid w:val="0"/>
              <w:jc w:val="center"/>
              <w:rPr>
                <w:rFonts w:ascii="宋体"/>
                <w:b/>
                <w:sz w:val="21"/>
                <w:szCs w:val="21"/>
              </w:rPr>
            </w:pPr>
          </w:p>
        </w:tc>
        <w:tc>
          <w:tcPr>
            <w:tcW w:w="1783" w:type="dxa"/>
            <w:vMerge w:val="continue"/>
            <w:vAlign w:val="center"/>
          </w:tcPr>
          <w:p>
            <w:pPr>
              <w:snapToGrid w:val="0"/>
              <w:jc w:val="center"/>
              <w:rPr>
                <w:rFonts w:ascii="宋体"/>
                <w:b/>
                <w:sz w:val="21"/>
                <w:szCs w:val="21"/>
              </w:rPr>
            </w:pPr>
          </w:p>
        </w:tc>
        <w:tc>
          <w:tcPr>
            <w:tcW w:w="1109" w:type="dxa"/>
            <w:vMerge w:val="continue"/>
            <w:vAlign w:val="center"/>
          </w:tcPr>
          <w:p>
            <w:pPr>
              <w:snapToGrid w:val="0"/>
              <w:jc w:val="center"/>
              <w:rPr>
                <w:rFonts w:ascii="宋体"/>
                <w:b/>
                <w:sz w:val="21"/>
                <w:szCs w:val="21"/>
              </w:rPr>
            </w:pPr>
          </w:p>
        </w:tc>
        <w:tc>
          <w:tcPr>
            <w:tcW w:w="850" w:type="dxa"/>
            <w:vMerge w:val="continue"/>
            <w:vAlign w:val="center"/>
          </w:tcPr>
          <w:p>
            <w:pPr>
              <w:snapToGrid w:val="0"/>
              <w:jc w:val="center"/>
              <w:rPr>
                <w:rFonts w:ascii="宋体" w:hAnsi="宋体"/>
                <w:b/>
                <w:sz w:val="21"/>
                <w:szCs w:val="21"/>
              </w:rPr>
            </w:pPr>
          </w:p>
        </w:tc>
        <w:tc>
          <w:tcPr>
            <w:tcW w:w="1641" w:type="dxa"/>
            <w:vMerge w:val="continue"/>
          </w:tcPr>
          <w:p>
            <w:pPr>
              <w:snapToGrid w:val="0"/>
              <w:jc w:val="center"/>
              <w:rPr>
                <w:rFonts w:ascii="宋体" w:hAnsi="宋体"/>
                <w:b/>
                <w:sz w:val="21"/>
                <w:szCs w:val="21"/>
              </w:rPr>
            </w:pPr>
          </w:p>
        </w:tc>
        <w:tc>
          <w:tcPr>
            <w:tcW w:w="734" w:type="dxa"/>
            <w:vAlign w:val="center"/>
          </w:tcPr>
          <w:p>
            <w:pPr>
              <w:snapToGrid w:val="0"/>
              <w:jc w:val="center"/>
              <w:rPr>
                <w:rFonts w:ascii="宋体"/>
                <w:b/>
                <w:sz w:val="21"/>
                <w:szCs w:val="21"/>
              </w:rPr>
            </w:pPr>
            <w:r>
              <w:rPr>
                <w:rFonts w:hint="eastAsia" w:ascii="宋体" w:hAnsi="宋体"/>
                <w:b/>
                <w:sz w:val="21"/>
                <w:szCs w:val="21"/>
              </w:rPr>
              <w:t>必考</w:t>
            </w:r>
          </w:p>
        </w:tc>
        <w:tc>
          <w:tcPr>
            <w:tcW w:w="733" w:type="dxa"/>
            <w:vAlign w:val="center"/>
          </w:tcPr>
          <w:p>
            <w:pPr>
              <w:snapToGrid w:val="0"/>
              <w:jc w:val="center"/>
              <w:rPr>
                <w:rFonts w:ascii="宋体"/>
                <w:b/>
                <w:sz w:val="21"/>
                <w:szCs w:val="21"/>
              </w:rPr>
            </w:pPr>
            <w:r>
              <w:rPr>
                <w:rFonts w:hint="eastAsia" w:ascii="宋体" w:hAnsi="宋体"/>
                <w:b/>
                <w:sz w:val="21"/>
                <w:szCs w:val="21"/>
              </w:rPr>
              <w:t>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567" w:type="dxa"/>
            <w:vAlign w:val="center"/>
          </w:tcPr>
          <w:p>
            <w:pPr>
              <w:snapToGrid w:val="0"/>
              <w:jc w:val="center"/>
              <w:rPr>
                <w:rFonts w:ascii="宋体"/>
                <w:sz w:val="21"/>
                <w:szCs w:val="21"/>
              </w:rPr>
            </w:pPr>
            <w:r>
              <w:rPr>
                <w:rFonts w:ascii="宋体" w:hAnsi="宋体"/>
                <w:sz w:val="21"/>
                <w:szCs w:val="21"/>
              </w:rPr>
              <w:t>1</w:t>
            </w:r>
          </w:p>
        </w:tc>
        <w:tc>
          <w:tcPr>
            <w:tcW w:w="1636" w:type="dxa"/>
            <w:vAlign w:val="center"/>
          </w:tcPr>
          <w:p>
            <w:pPr>
              <w:jc w:val="center"/>
              <w:rPr>
                <w:sz w:val="21"/>
                <w:szCs w:val="24"/>
              </w:rPr>
            </w:pPr>
            <w:r>
              <w:rPr>
                <w:rFonts w:hint="eastAsia"/>
                <w:sz w:val="21"/>
                <w:szCs w:val="24"/>
              </w:rPr>
              <w:t>低压电工作业证</w:t>
            </w:r>
          </w:p>
        </w:tc>
        <w:tc>
          <w:tcPr>
            <w:tcW w:w="1783" w:type="dxa"/>
            <w:vAlign w:val="center"/>
          </w:tcPr>
          <w:p>
            <w:pPr>
              <w:jc w:val="center"/>
              <w:rPr>
                <w:rFonts w:ascii="宋体"/>
                <w:sz w:val="21"/>
                <w:szCs w:val="21"/>
              </w:rPr>
            </w:pPr>
            <w:r>
              <w:rPr>
                <w:rFonts w:hint="eastAsia" w:ascii="宋体" w:hAnsi="宋体"/>
                <w:sz w:val="21"/>
                <w:szCs w:val="21"/>
              </w:rPr>
              <w:t>浙江省应急管理厅</w:t>
            </w:r>
          </w:p>
        </w:tc>
        <w:tc>
          <w:tcPr>
            <w:tcW w:w="1109" w:type="dxa"/>
            <w:vAlign w:val="center"/>
          </w:tcPr>
          <w:p>
            <w:pPr>
              <w:jc w:val="center"/>
              <w:rPr>
                <w:sz w:val="21"/>
                <w:szCs w:val="24"/>
              </w:rPr>
            </w:pPr>
            <w:r>
              <w:rPr>
                <w:rFonts w:hint="eastAsia" w:ascii="宋体" w:hAnsi="宋体"/>
                <w:sz w:val="21"/>
                <w:szCs w:val="21"/>
              </w:rPr>
              <w:t>上岗证</w:t>
            </w:r>
          </w:p>
        </w:tc>
        <w:tc>
          <w:tcPr>
            <w:tcW w:w="850" w:type="dxa"/>
            <w:vAlign w:val="center"/>
          </w:tcPr>
          <w:p>
            <w:pPr>
              <w:jc w:val="center"/>
              <w:rPr>
                <w:sz w:val="21"/>
                <w:szCs w:val="24"/>
              </w:rPr>
            </w:pPr>
            <w:r>
              <w:rPr>
                <w:rFonts w:hint="eastAsia"/>
                <w:sz w:val="21"/>
                <w:szCs w:val="24"/>
              </w:rPr>
              <w:t>2</w:t>
            </w:r>
          </w:p>
        </w:tc>
        <w:tc>
          <w:tcPr>
            <w:tcW w:w="1641" w:type="dxa"/>
            <w:vAlign w:val="center"/>
          </w:tcPr>
          <w:p>
            <w:pPr>
              <w:jc w:val="center"/>
              <w:rPr>
                <w:sz w:val="21"/>
                <w:szCs w:val="24"/>
              </w:rPr>
            </w:pPr>
            <w:r>
              <w:rPr>
                <w:rFonts w:hint="eastAsia"/>
                <w:sz w:val="21"/>
                <w:szCs w:val="24"/>
              </w:rPr>
              <w:t>低压电工作业实训</w:t>
            </w:r>
          </w:p>
        </w:tc>
        <w:tc>
          <w:tcPr>
            <w:tcW w:w="734" w:type="dxa"/>
            <w:vAlign w:val="center"/>
          </w:tcPr>
          <w:p>
            <w:pPr>
              <w:jc w:val="center"/>
              <w:rPr>
                <w:sz w:val="21"/>
                <w:szCs w:val="24"/>
              </w:rPr>
            </w:pPr>
            <w:r>
              <w:rPr>
                <w:rFonts w:hint="eastAsia"/>
                <w:sz w:val="21"/>
                <w:szCs w:val="24"/>
              </w:rPr>
              <w:t>√</w:t>
            </w:r>
          </w:p>
        </w:tc>
        <w:tc>
          <w:tcPr>
            <w:tcW w:w="733" w:type="dxa"/>
            <w:vAlign w:val="center"/>
          </w:tcPr>
          <w:p>
            <w:pPr>
              <w:jc w:val="center"/>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567" w:type="dxa"/>
            <w:vAlign w:val="center"/>
          </w:tcPr>
          <w:p>
            <w:pPr>
              <w:snapToGrid w:val="0"/>
              <w:jc w:val="center"/>
              <w:rPr>
                <w:rFonts w:ascii="宋体" w:hAnsi="宋体"/>
                <w:sz w:val="21"/>
                <w:szCs w:val="21"/>
              </w:rPr>
            </w:pPr>
            <w:r>
              <w:rPr>
                <w:rFonts w:ascii="宋体" w:hAnsi="宋体"/>
                <w:sz w:val="21"/>
                <w:szCs w:val="21"/>
              </w:rPr>
              <w:t>2</w:t>
            </w:r>
          </w:p>
        </w:tc>
        <w:tc>
          <w:tcPr>
            <w:tcW w:w="1636" w:type="dxa"/>
            <w:vAlign w:val="center"/>
          </w:tcPr>
          <w:p>
            <w:pPr>
              <w:jc w:val="center"/>
              <w:rPr>
                <w:sz w:val="21"/>
                <w:szCs w:val="24"/>
              </w:rPr>
            </w:pPr>
            <w:r>
              <w:rPr>
                <w:rFonts w:hint="eastAsia"/>
                <w:sz w:val="21"/>
                <w:szCs w:val="24"/>
              </w:rPr>
              <w:t>英语等级考试</w:t>
            </w:r>
          </w:p>
        </w:tc>
        <w:tc>
          <w:tcPr>
            <w:tcW w:w="1783" w:type="dxa"/>
            <w:vAlign w:val="center"/>
          </w:tcPr>
          <w:p>
            <w:pPr>
              <w:jc w:val="center"/>
              <w:rPr>
                <w:rFonts w:ascii="宋体" w:hAnsi="宋体"/>
                <w:sz w:val="21"/>
                <w:szCs w:val="21"/>
              </w:rPr>
            </w:pPr>
            <w:r>
              <w:rPr>
                <w:rFonts w:hint="eastAsia" w:ascii="宋体" w:hAnsi="宋体"/>
                <w:sz w:val="21"/>
                <w:szCs w:val="21"/>
              </w:rPr>
              <w:t>教育部考试中心</w:t>
            </w:r>
          </w:p>
        </w:tc>
        <w:tc>
          <w:tcPr>
            <w:tcW w:w="1109" w:type="dxa"/>
            <w:vAlign w:val="center"/>
          </w:tcPr>
          <w:p>
            <w:pPr>
              <w:jc w:val="center"/>
              <w:rPr>
                <w:rFonts w:ascii="宋体" w:hAnsi="宋体"/>
                <w:sz w:val="21"/>
                <w:szCs w:val="21"/>
              </w:rPr>
            </w:pPr>
            <w:r>
              <w:rPr>
                <w:rFonts w:hint="eastAsia" w:ascii="宋体" w:hAnsi="宋体"/>
                <w:sz w:val="21"/>
                <w:szCs w:val="21"/>
              </w:rPr>
              <w:t>三级以上</w:t>
            </w:r>
          </w:p>
        </w:tc>
        <w:tc>
          <w:tcPr>
            <w:tcW w:w="850" w:type="dxa"/>
            <w:vAlign w:val="center"/>
          </w:tcPr>
          <w:p>
            <w:pPr>
              <w:jc w:val="center"/>
              <w:rPr>
                <w:sz w:val="21"/>
                <w:szCs w:val="24"/>
              </w:rPr>
            </w:pPr>
            <w:r>
              <w:rPr>
                <w:rFonts w:hint="eastAsia"/>
                <w:sz w:val="21"/>
                <w:szCs w:val="24"/>
              </w:rPr>
              <w:t>2</w:t>
            </w:r>
          </w:p>
        </w:tc>
        <w:tc>
          <w:tcPr>
            <w:tcW w:w="1641" w:type="dxa"/>
            <w:vAlign w:val="center"/>
          </w:tcPr>
          <w:p>
            <w:pPr>
              <w:jc w:val="center"/>
              <w:rPr>
                <w:sz w:val="21"/>
                <w:szCs w:val="24"/>
              </w:rPr>
            </w:pPr>
            <w:r>
              <w:rPr>
                <w:rFonts w:hint="eastAsia"/>
                <w:sz w:val="21"/>
                <w:szCs w:val="24"/>
              </w:rPr>
              <w:t>城轨服务英语</w:t>
            </w:r>
          </w:p>
        </w:tc>
        <w:tc>
          <w:tcPr>
            <w:tcW w:w="734" w:type="dxa"/>
            <w:vAlign w:val="center"/>
          </w:tcPr>
          <w:p>
            <w:pPr>
              <w:jc w:val="center"/>
              <w:rPr>
                <w:sz w:val="21"/>
                <w:szCs w:val="24"/>
              </w:rPr>
            </w:pPr>
          </w:p>
        </w:tc>
        <w:tc>
          <w:tcPr>
            <w:tcW w:w="733" w:type="dxa"/>
            <w:vAlign w:val="center"/>
          </w:tcPr>
          <w:p>
            <w:pPr>
              <w:jc w:val="center"/>
              <w:rPr>
                <w:sz w:val="21"/>
                <w:szCs w:val="24"/>
              </w:rPr>
            </w:pPr>
            <w:r>
              <w:rPr>
                <w:rFonts w:hint="eastAsia"/>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567" w:type="dxa"/>
            <w:vAlign w:val="center"/>
          </w:tcPr>
          <w:p>
            <w:pPr>
              <w:snapToGrid w:val="0"/>
              <w:jc w:val="center"/>
              <w:rPr>
                <w:rFonts w:ascii="宋体"/>
                <w:sz w:val="21"/>
                <w:szCs w:val="21"/>
              </w:rPr>
            </w:pPr>
            <w:r>
              <w:rPr>
                <w:rFonts w:ascii="宋体" w:hAnsi="宋体"/>
                <w:sz w:val="21"/>
                <w:szCs w:val="21"/>
              </w:rPr>
              <w:t>3</w:t>
            </w:r>
          </w:p>
        </w:tc>
        <w:tc>
          <w:tcPr>
            <w:tcW w:w="1636" w:type="dxa"/>
            <w:vAlign w:val="center"/>
          </w:tcPr>
          <w:p>
            <w:pPr>
              <w:jc w:val="center"/>
              <w:rPr>
                <w:rFonts w:ascii="宋体"/>
                <w:sz w:val="21"/>
                <w:szCs w:val="21"/>
              </w:rPr>
            </w:pPr>
            <w:r>
              <w:rPr>
                <w:rFonts w:hint="eastAsia" w:ascii="宋体" w:hAnsi="宋体"/>
                <w:sz w:val="21"/>
                <w:szCs w:val="21"/>
              </w:rPr>
              <w:t>普通话等级证书</w:t>
            </w:r>
          </w:p>
        </w:tc>
        <w:tc>
          <w:tcPr>
            <w:tcW w:w="1783" w:type="dxa"/>
          </w:tcPr>
          <w:p>
            <w:pPr>
              <w:jc w:val="center"/>
              <w:rPr>
                <w:rFonts w:ascii="宋体"/>
                <w:sz w:val="21"/>
                <w:szCs w:val="21"/>
              </w:rPr>
            </w:pPr>
            <w:r>
              <w:rPr>
                <w:rFonts w:hint="eastAsia" w:ascii="宋体" w:hAnsi="宋体"/>
                <w:sz w:val="21"/>
                <w:szCs w:val="21"/>
              </w:rPr>
              <w:t>浙江省语言文字工作委员会</w:t>
            </w:r>
          </w:p>
        </w:tc>
        <w:tc>
          <w:tcPr>
            <w:tcW w:w="1109" w:type="dxa"/>
            <w:vAlign w:val="center"/>
          </w:tcPr>
          <w:p>
            <w:pPr>
              <w:jc w:val="center"/>
              <w:rPr>
                <w:rFonts w:ascii="宋体"/>
                <w:sz w:val="21"/>
                <w:szCs w:val="21"/>
              </w:rPr>
            </w:pPr>
            <w:r>
              <w:rPr>
                <w:rFonts w:hint="eastAsia" w:ascii="Arial" w:hAnsi="Arial" w:cs="Arial"/>
                <w:sz w:val="21"/>
                <w:szCs w:val="21"/>
                <w:shd w:val="clear" w:color="auto" w:fill="FFFFFF"/>
              </w:rPr>
              <w:t>二级乙等</w:t>
            </w:r>
          </w:p>
        </w:tc>
        <w:tc>
          <w:tcPr>
            <w:tcW w:w="850" w:type="dxa"/>
            <w:vAlign w:val="center"/>
          </w:tcPr>
          <w:p>
            <w:pPr>
              <w:snapToGrid w:val="0"/>
              <w:jc w:val="center"/>
              <w:rPr>
                <w:rFonts w:ascii="宋体"/>
                <w:sz w:val="21"/>
                <w:szCs w:val="21"/>
              </w:rPr>
            </w:pPr>
            <w:r>
              <w:rPr>
                <w:rFonts w:ascii="宋体"/>
                <w:sz w:val="21"/>
                <w:szCs w:val="21"/>
              </w:rPr>
              <w:t>2</w:t>
            </w:r>
          </w:p>
        </w:tc>
        <w:tc>
          <w:tcPr>
            <w:tcW w:w="1641" w:type="dxa"/>
            <w:vAlign w:val="center"/>
          </w:tcPr>
          <w:p>
            <w:pPr>
              <w:snapToGrid w:val="0"/>
              <w:jc w:val="center"/>
              <w:rPr>
                <w:rFonts w:ascii="宋体"/>
                <w:sz w:val="21"/>
                <w:szCs w:val="21"/>
              </w:rPr>
            </w:pPr>
            <w:r>
              <w:rPr>
                <w:rFonts w:hint="eastAsia" w:ascii="宋体"/>
                <w:sz w:val="21"/>
                <w:szCs w:val="21"/>
              </w:rPr>
              <w:t>演讲与口才</w:t>
            </w:r>
          </w:p>
        </w:tc>
        <w:tc>
          <w:tcPr>
            <w:tcW w:w="734" w:type="dxa"/>
            <w:vAlign w:val="center"/>
          </w:tcPr>
          <w:p>
            <w:pPr>
              <w:snapToGrid w:val="0"/>
              <w:jc w:val="center"/>
              <w:rPr>
                <w:rFonts w:ascii="宋体"/>
                <w:sz w:val="21"/>
                <w:szCs w:val="21"/>
              </w:rPr>
            </w:pPr>
          </w:p>
        </w:tc>
        <w:tc>
          <w:tcPr>
            <w:tcW w:w="733" w:type="dxa"/>
            <w:vAlign w:val="center"/>
          </w:tcPr>
          <w:p>
            <w:pPr>
              <w:snapToGrid w:val="0"/>
              <w:jc w:val="center"/>
              <w:rPr>
                <w:rFonts w:ascii="宋体"/>
                <w:sz w:val="21"/>
                <w:szCs w:val="21"/>
              </w:rPr>
            </w:pPr>
            <w:r>
              <w:rPr>
                <w:rFonts w:hint="eastAsia"/>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567" w:type="dxa"/>
            <w:vAlign w:val="center"/>
          </w:tcPr>
          <w:p>
            <w:pPr>
              <w:snapToGrid w:val="0"/>
              <w:jc w:val="center"/>
              <w:rPr>
                <w:rFonts w:ascii="宋体"/>
                <w:sz w:val="21"/>
                <w:szCs w:val="21"/>
              </w:rPr>
            </w:pPr>
            <w:r>
              <w:rPr>
                <w:rFonts w:ascii="宋体" w:hAnsi="宋体"/>
                <w:sz w:val="21"/>
                <w:szCs w:val="21"/>
              </w:rPr>
              <w:t>4</w:t>
            </w:r>
          </w:p>
        </w:tc>
        <w:tc>
          <w:tcPr>
            <w:tcW w:w="1636" w:type="dxa"/>
            <w:vAlign w:val="center"/>
          </w:tcPr>
          <w:p>
            <w:pPr>
              <w:jc w:val="center"/>
              <w:rPr>
                <w:rFonts w:ascii="宋体"/>
                <w:sz w:val="21"/>
                <w:szCs w:val="21"/>
              </w:rPr>
            </w:pPr>
            <w:r>
              <w:rPr>
                <w:rFonts w:hint="eastAsia" w:ascii="宋体" w:hAnsi="宋体"/>
                <w:sz w:val="21"/>
                <w:szCs w:val="21"/>
              </w:rPr>
              <w:t>红十字会急救员证</w:t>
            </w:r>
          </w:p>
        </w:tc>
        <w:tc>
          <w:tcPr>
            <w:tcW w:w="1783" w:type="dxa"/>
            <w:vAlign w:val="center"/>
          </w:tcPr>
          <w:p>
            <w:pPr>
              <w:jc w:val="center"/>
              <w:rPr>
                <w:rFonts w:ascii="宋体"/>
                <w:sz w:val="21"/>
                <w:szCs w:val="21"/>
              </w:rPr>
            </w:pPr>
            <w:r>
              <w:rPr>
                <w:rFonts w:hint="eastAsia" w:ascii="宋体" w:hAnsi="宋体"/>
                <w:sz w:val="21"/>
                <w:szCs w:val="21"/>
              </w:rPr>
              <w:t>绍兴市红十字会</w:t>
            </w:r>
          </w:p>
        </w:tc>
        <w:tc>
          <w:tcPr>
            <w:tcW w:w="1109" w:type="dxa"/>
            <w:vAlign w:val="center"/>
          </w:tcPr>
          <w:p>
            <w:pPr>
              <w:jc w:val="center"/>
              <w:rPr>
                <w:rFonts w:ascii="宋体"/>
                <w:sz w:val="21"/>
                <w:szCs w:val="21"/>
              </w:rPr>
            </w:pPr>
            <w:r>
              <w:rPr>
                <w:rFonts w:hint="eastAsia" w:ascii="宋体" w:hAnsi="宋体"/>
                <w:sz w:val="21"/>
                <w:szCs w:val="21"/>
              </w:rPr>
              <w:t>初级</w:t>
            </w:r>
          </w:p>
        </w:tc>
        <w:tc>
          <w:tcPr>
            <w:tcW w:w="850" w:type="dxa"/>
            <w:vAlign w:val="center"/>
          </w:tcPr>
          <w:p>
            <w:pPr>
              <w:snapToGrid w:val="0"/>
              <w:jc w:val="center"/>
              <w:rPr>
                <w:rFonts w:ascii="宋体" w:hAnsi="宋体"/>
                <w:b/>
                <w:sz w:val="21"/>
                <w:szCs w:val="21"/>
              </w:rPr>
            </w:pPr>
            <w:r>
              <w:rPr>
                <w:rFonts w:hint="eastAsia" w:ascii="宋体"/>
                <w:sz w:val="21"/>
                <w:szCs w:val="21"/>
              </w:rPr>
              <w:t>4</w:t>
            </w:r>
          </w:p>
        </w:tc>
        <w:tc>
          <w:tcPr>
            <w:tcW w:w="1641" w:type="dxa"/>
            <w:vAlign w:val="center"/>
          </w:tcPr>
          <w:p>
            <w:pPr>
              <w:snapToGrid w:val="0"/>
              <w:jc w:val="center"/>
              <w:rPr>
                <w:rFonts w:ascii="宋体" w:hAnsi="宋体"/>
                <w:b/>
                <w:sz w:val="21"/>
                <w:szCs w:val="21"/>
              </w:rPr>
            </w:pPr>
            <w:r>
              <w:rPr>
                <w:rFonts w:hint="eastAsia" w:ascii="宋体"/>
                <w:sz w:val="21"/>
                <w:szCs w:val="21"/>
              </w:rPr>
              <w:t>城轨应急处理与公共安全</w:t>
            </w:r>
          </w:p>
        </w:tc>
        <w:tc>
          <w:tcPr>
            <w:tcW w:w="734" w:type="dxa"/>
            <w:vAlign w:val="center"/>
          </w:tcPr>
          <w:p>
            <w:pPr>
              <w:snapToGrid w:val="0"/>
              <w:jc w:val="center"/>
              <w:rPr>
                <w:rFonts w:ascii="宋体"/>
                <w:sz w:val="21"/>
                <w:szCs w:val="21"/>
              </w:rPr>
            </w:pPr>
          </w:p>
        </w:tc>
        <w:tc>
          <w:tcPr>
            <w:tcW w:w="733" w:type="dxa"/>
            <w:vAlign w:val="center"/>
          </w:tcPr>
          <w:p>
            <w:pPr>
              <w:snapToGrid w:val="0"/>
              <w:jc w:val="center"/>
              <w:rPr>
                <w:rFonts w:ascii="宋体"/>
                <w:sz w:val="21"/>
                <w:szCs w:val="21"/>
              </w:rPr>
            </w:pPr>
            <w:r>
              <w:rPr>
                <w:rFonts w:hint="eastAsia"/>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567" w:type="dxa"/>
            <w:vAlign w:val="center"/>
          </w:tcPr>
          <w:p>
            <w:pPr>
              <w:snapToGrid w:val="0"/>
              <w:jc w:val="center"/>
              <w:rPr>
                <w:rFonts w:ascii="宋体"/>
                <w:b/>
                <w:sz w:val="21"/>
                <w:szCs w:val="21"/>
              </w:rPr>
            </w:pPr>
            <w:r>
              <w:rPr>
                <w:rFonts w:ascii="宋体" w:hAnsi="宋体"/>
                <w:sz w:val="21"/>
                <w:szCs w:val="21"/>
              </w:rPr>
              <w:t>5</w:t>
            </w:r>
          </w:p>
        </w:tc>
        <w:tc>
          <w:tcPr>
            <w:tcW w:w="1636" w:type="dxa"/>
            <w:vAlign w:val="center"/>
          </w:tcPr>
          <w:p>
            <w:pPr>
              <w:jc w:val="center"/>
              <w:rPr>
                <w:rFonts w:ascii="宋体"/>
                <w:b/>
                <w:sz w:val="21"/>
                <w:szCs w:val="21"/>
              </w:rPr>
            </w:pPr>
            <w:r>
              <w:rPr>
                <w:rFonts w:hint="eastAsia" w:ascii="宋体" w:hAnsi="宋体"/>
                <w:sz w:val="21"/>
                <w:szCs w:val="21"/>
              </w:rPr>
              <w:t>消防设施操作员证</w:t>
            </w:r>
          </w:p>
        </w:tc>
        <w:tc>
          <w:tcPr>
            <w:tcW w:w="1783" w:type="dxa"/>
          </w:tcPr>
          <w:p>
            <w:pPr>
              <w:jc w:val="center"/>
              <w:rPr>
                <w:rFonts w:ascii="宋体"/>
                <w:b/>
                <w:sz w:val="21"/>
                <w:szCs w:val="21"/>
              </w:rPr>
            </w:pPr>
            <w:r>
              <w:rPr>
                <w:rFonts w:hint="eastAsia" w:ascii="宋体" w:hAnsi="宋体"/>
                <w:sz w:val="21"/>
                <w:szCs w:val="21"/>
              </w:rPr>
              <w:t>绍兴市人力资源和社会保障局</w:t>
            </w:r>
          </w:p>
        </w:tc>
        <w:tc>
          <w:tcPr>
            <w:tcW w:w="1109" w:type="dxa"/>
            <w:vAlign w:val="center"/>
          </w:tcPr>
          <w:p>
            <w:pPr>
              <w:jc w:val="center"/>
              <w:rPr>
                <w:rFonts w:ascii="宋体"/>
                <w:b/>
                <w:sz w:val="21"/>
                <w:szCs w:val="21"/>
              </w:rPr>
            </w:pPr>
            <w:r>
              <w:rPr>
                <w:rFonts w:hint="eastAsia" w:ascii="宋体" w:hAnsi="宋体"/>
                <w:sz w:val="21"/>
                <w:szCs w:val="21"/>
              </w:rPr>
              <w:t>初级</w:t>
            </w:r>
          </w:p>
        </w:tc>
        <w:tc>
          <w:tcPr>
            <w:tcW w:w="850" w:type="dxa"/>
            <w:vAlign w:val="center"/>
          </w:tcPr>
          <w:p>
            <w:pPr>
              <w:snapToGrid w:val="0"/>
              <w:jc w:val="center"/>
              <w:rPr>
                <w:rFonts w:ascii="宋体" w:hAnsi="宋体"/>
                <w:b/>
                <w:sz w:val="21"/>
                <w:szCs w:val="21"/>
              </w:rPr>
            </w:pPr>
            <w:r>
              <w:rPr>
                <w:rFonts w:ascii="宋体"/>
                <w:sz w:val="21"/>
                <w:szCs w:val="21"/>
              </w:rPr>
              <w:t>4</w:t>
            </w:r>
          </w:p>
        </w:tc>
        <w:tc>
          <w:tcPr>
            <w:tcW w:w="1641" w:type="dxa"/>
            <w:vAlign w:val="center"/>
          </w:tcPr>
          <w:p>
            <w:pPr>
              <w:snapToGrid w:val="0"/>
              <w:jc w:val="center"/>
              <w:rPr>
                <w:rFonts w:ascii="宋体" w:hAnsi="宋体"/>
                <w:b/>
                <w:sz w:val="21"/>
                <w:szCs w:val="21"/>
              </w:rPr>
            </w:pPr>
            <w:r>
              <w:rPr>
                <w:rFonts w:hint="eastAsia" w:ascii="宋体"/>
                <w:sz w:val="21"/>
                <w:szCs w:val="21"/>
              </w:rPr>
              <w:t>城市轨道交通车站设备</w:t>
            </w:r>
          </w:p>
        </w:tc>
        <w:tc>
          <w:tcPr>
            <w:tcW w:w="734" w:type="dxa"/>
            <w:vAlign w:val="center"/>
          </w:tcPr>
          <w:p>
            <w:pPr>
              <w:snapToGrid w:val="0"/>
              <w:jc w:val="center"/>
              <w:rPr>
                <w:rFonts w:ascii="宋体" w:hAnsi="宋体"/>
                <w:b/>
                <w:sz w:val="21"/>
                <w:szCs w:val="21"/>
              </w:rPr>
            </w:pPr>
          </w:p>
        </w:tc>
        <w:tc>
          <w:tcPr>
            <w:tcW w:w="733" w:type="dxa"/>
            <w:vAlign w:val="center"/>
          </w:tcPr>
          <w:p>
            <w:pPr>
              <w:snapToGrid w:val="0"/>
              <w:jc w:val="center"/>
              <w:rPr>
                <w:rFonts w:ascii="宋体" w:hAnsi="宋体"/>
                <w:b/>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567" w:type="dxa"/>
            <w:vAlign w:val="center"/>
          </w:tcPr>
          <w:p>
            <w:pPr>
              <w:snapToGrid w:val="0"/>
              <w:jc w:val="center"/>
              <w:rPr>
                <w:rFonts w:ascii="宋体"/>
                <w:b/>
                <w:sz w:val="21"/>
                <w:szCs w:val="21"/>
              </w:rPr>
            </w:pPr>
            <w:r>
              <w:rPr>
                <w:rFonts w:ascii="宋体" w:hAnsi="宋体"/>
                <w:sz w:val="21"/>
                <w:szCs w:val="21"/>
              </w:rPr>
              <w:t>6</w:t>
            </w:r>
          </w:p>
        </w:tc>
        <w:tc>
          <w:tcPr>
            <w:tcW w:w="1636" w:type="dxa"/>
            <w:vAlign w:val="center"/>
          </w:tcPr>
          <w:p>
            <w:pPr>
              <w:jc w:val="center"/>
              <w:rPr>
                <w:rFonts w:ascii="宋体"/>
                <w:b/>
                <w:sz w:val="21"/>
                <w:szCs w:val="21"/>
              </w:rPr>
            </w:pPr>
            <w:r>
              <w:rPr>
                <w:rFonts w:hint="eastAsia" w:ascii="宋体" w:hAnsi="宋体"/>
                <w:sz w:val="21"/>
                <w:szCs w:val="21"/>
              </w:rPr>
              <w:t>特种设备作业人员证</w:t>
            </w:r>
          </w:p>
        </w:tc>
        <w:tc>
          <w:tcPr>
            <w:tcW w:w="1783" w:type="dxa"/>
          </w:tcPr>
          <w:p>
            <w:pPr>
              <w:jc w:val="center"/>
              <w:rPr>
                <w:rFonts w:ascii="宋体"/>
                <w:b/>
                <w:sz w:val="21"/>
                <w:szCs w:val="21"/>
              </w:rPr>
            </w:pPr>
            <w:r>
              <w:rPr>
                <w:rFonts w:hint="eastAsia" w:ascii="宋体" w:hAnsi="宋体"/>
                <w:sz w:val="21"/>
                <w:szCs w:val="21"/>
              </w:rPr>
              <w:t>绍兴市质量技术监督局</w:t>
            </w:r>
          </w:p>
        </w:tc>
        <w:tc>
          <w:tcPr>
            <w:tcW w:w="1109" w:type="dxa"/>
            <w:vAlign w:val="center"/>
          </w:tcPr>
          <w:p>
            <w:pPr>
              <w:jc w:val="center"/>
              <w:rPr>
                <w:rFonts w:ascii="宋体"/>
                <w:b/>
                <w:sz w:val="21"/>
                <w:szCs w:val="21"/>
              </w:rPr>
            </w:pPr>
            <w:r>
              <w:rPr>
                <w:rFonts w:hint="eastAsia" w:ascii="宋体" w:hAnsi="宋体"/>
                <w:sz w:val="21"/>
                <w:szCs w:val="21"/>
              </w:rPr>
              <w:t>电梯安全管理员</w:t>
            </w:r>
          </w:p>
        </w:tc>
        <w:tc>
          <w:tcPr>
            <w:tcW w:w="850" w:type="dxa"/>
            <w:vAlign w:val="center"/>
          </w:tcPr>
          <w:p>
            <w:pPr>
              <w:snapToGrid w:val="0"/>
              <w:jc w:val="center"/>
              <w:rPr>
                <w:rFonts w:ascii="宋体" w:hAnsi="宋体"/>
                <w:sz w:val="21"/>
                <w:szCs w:val="21"/>
              </w:rPr>
            </w:pPr>
            <w:r>
              <w:rPr>
                <w:rFonts w:hint="eastAsia" w:ascii="宋体" w:hAnsi="宋体"/>
                <w:sz w:val="21"/>
                <w:szCs w:val="21"/>
              </w:rPr>
              <w:t>4</w:t>
            </w:r>
          </w:p>
        </w:tc>
        <w:tc>
          <w:tcPr>
            <w:tcW w:w="1641" w:type="dxa"/>
            <w:vAlign w:val="center"/>
          </w:tcPr>
          <w:p>
            <w:pPr>
              <w:snapToGrid w:val="0"/>
              <w:jc w:val="center"/>
              <w:rPr>
                <w:rFonts w:ascii="宋体" w:hAnsi="宋体"/>
                <w:sz w:val="21"/>
                <w:szCs w:val="21"/>
              </w:rPr>
            </w:pPr>
            <w:r>
              <w:rPr>
                <w:rFonts w:hint="eastAsia" w:ascii="宋体" w:hAnsi="宋体"/>
                <w:sz w:val="21"/>
                <w:szCs w:val="21"/>
              </w:rPr>
              <w:t>电扶梯与屏蔽门检修</w:t>
            </w:r>
          </w:p>
        </w:tc>
        <w:tc>
          <w:tcPr>
            <w:tcW w:w="734" w:type="dxa"/>
            <w:vAlign w:val="center"/>
          </w:tcPr>
          <w:p>
            <w:pPr>
              <w:snapToGrid w:val="0"/>
              <w:jc w:val="center"/>
              <w:rPr>
                <w:rFonts w:ascii="宋体" w:hAnsi="宋体"/>
                <w:b/>
                <w:sz w:val="21"/>
                <w:szCs w:val="21"/>
              </w:rPr>
            </w:pPr>
          </w:p>
        </w:tc>
        <w:tc>
          <w:tcPr>
            <w:tcW w:w="733" w:type="dxa"/>
            <w:vAlign w:val="center"/>
          </w:tcPr>
          <w:p>
            <w:pPr>
              <w:snapToGrid w:val="0"/>
              <w:jc w:val="center"/>
              <w:rPr>
                <w:rFonts w:ascii="宋体" w:hAnsi="宋体"/>
                <w:b/>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567" w:type="dxa"/>
            <w:vAlign w:val="center"/>
          </w:tcPr>
          <w:p>
            <w:pPr>
              <w:snapToGrid w:val="0"/>
              <w:jc w:val="center"/>
              <w:rPr>
                <w:rFonts w:ascii="宋体" w:hAnsi="宋体"/>
                <w:sz w:val="21"/>
                <w:szCs w:val="21"/>
              </w:rPr>
            </w:pPr>
            <w:r>
              <w:rPr>
                <w:rFonts w:hint="eastAsia" w:ascii="宋体" w:hAnsi="宋体"/>
                <w:sz w:val="21"/>
                <w:szCs w:val="21"/>
              </w:rPr>
              <w:t>7</w:t>
            </w:r>
          </w:p>
        </w:tc>
        <w:tc>
          <w:tcPr>
            <w:tcW w:w="1636" w:type="dxa"/>
            <w:vAlign w:val="center"/>
          </w:tcPr>
          <w:p>
            <w:pPr>
              <w:jc w:val="center"/>
              <w:rPr>
                <w:rFonts w:ascii="宋体" w:hAnsi="宋体"/>
                <w:sz w:val="21"/>
                <w:szCs w:val="21"/>
              </w:rPr>
            </w:pPr>
            <w:r>
              <w:rPr>
                <w:rFonts w:hint="eastAsia" w:ascii="宋体" w:hAnsi="宋体"/>
                <w:sz w:val="21"/>
                <w:szCs w:val="21"/>
              </w:rPr>
              <w:t>城市轨道交通</w:t>
            </w:r>
            <w:r>
              <w:rPr>
                <w:rFonts w:hint="eastAsia" w:ascii="宋体" w:hAnsi="宋体"/>
                <w:sz w:val="21"/>
                <w:szCs w:val="21"/>
                <w:lang w:val="en-US" w:eastAsia="zh-CN"/>
              </w:rPr>
              <w:t>1+X</w:t>
            </w:r>
            <w:r>
              <w:rPr>
                <w:rFonts w:hint="eastAsia" w:ascii="宋体" w:hAnsi="宋体"/>
                <w:sz w:val="21"/>
                <w:szCs w:val="21"/>
              </w:rPr>
              <w:t>站务职业技能等级证书</w:t>
            </w:r>
          </w:p>
        </w:tc>
        <w:tc>
          <w:tcPr>
            <w:tcW w:w="1783" w:type="dxa"/>
            <w:vAlign w:val="center"/>
          </w:tcPr>
          <w:p>
            <w:pPr>
              <w:jc w:val="center"/>
              <w:rPr>
                <w:rFonts w:ascii="宋体" w:hAnsi="宋体"/>
                <w:sz w:val="21"/>
                <w:szCs w:val="21"/>
              </w:rPr>
            </w:pPr>
            <w:r>
              <w:rPr>
                <w:rFonts w:hint="eastAsia" w:ascii="宋体" w:hAnsi="宋体"/>
                <w:sz w:val="21"/>
                <w:szCs w:val="21"/>
              </w:rPr>
              <w:t>广州城市轨道交通培训学院股份有限公司</w:t>
            </w:r>
          </w:p>
        </w:tc>
        <w:tc>
          <w:tcPr>
            <w:tcW w:w="1109" w:type="dxa"/>
            <w:vAlign w:val="center"/>
          </w:tcPr>
          <w:p>
            <w:pPr>
              <w:jc w:val="center"/>
              <w:rPr>
                <w:rFonts w:ascii="宋体" w:hAnsi="宋体"/>
                <w:sz w:val="21"/>
                <w:szCs w:val="21"/>
              </w:rPr>
            </w:pPr>
            <w:r>
              <w:rPr>
                <w:rFonts w:hint="eastAsia" w:ascii="宋体" w:hAnsi="宋体"/>
                <w:sz w:val="21"/>
                <w:szCs w:val="21"/>
              </w:rPr>
              <w:t>中级</w:t>
            </w:r>
          </w:p>
        </w:tc>
        <w:tc>
          <w:tcPr>
            <w:tcW w:w="850" w:type="dxa"/>
            <w:vAlign w:val="center"/>
          </w:tcPr>
          <w:p>
            <w:pPr>
              <w:snapToGrid w:val="0"/>
              <w:jc w:val="center"/>
              <w:rPr>
                <w:rFonts w:ascii="宋体"/>
                <w:sz w:val="21"/>
                <w:szCs w:val="21"/>
              </w:rPr>
            </w:pPr>
            <w:r>
              <w:rPr>
                <w:rFonts w:hint="eastAsia" w:ascii="宋体"/>
                <w:sz w:val="21"/>
                <w:szCs w:val="21"/>
              </w:rPr>
              <w:t>1</w:t>
            </w:r>
          </w:p>
        </w:tc>
        <w:tc>
          <w:tcPr>
            <w:tcW w:w="1641" w:type="dxa"/>
            <w:vAlign w:val="center"/>
          </w:tcPr>
          <w:p>
            <w:pPr>
              <w:snapToGrid w:val="0"/>
              <w:jc w:val="center"/>
              <w:rPr>
                <w:rFonts w:ascii="宋体"/>
                <w:sz w:val="21"/>
                <w:szCs w:val="21"/>
              </w:rPr>
            </w:pPr>
            <w:r>
              <w:rPr>
                <w:rFonts w:hint="eastAsia" w:ascii="宋体"/>
                <w:sz w:val="21"/>
                <w:szCs w:val="21"/>
              </w:rPr>
              <w:t>城市轨道交通站务实训</w:t>
            </w:r>
          </w:p>
        </w:tc>
        <w:tc>
          <w:tcPr>
            <w:tcW w:w="734" w:type="dxa"/>
            <w:vAlign w:val="center"/>
          </w:tcPr>
          <w:p>
            <w:pPr>
              <w:snapToGrid w:val="0"/>
              <w:jc w:val="center"/>
              <w:rPr>
                <w:rFonts w:ascii="宋体" w:hAnsi="宋体"/>
                <w:b/>
                <w:sz w:val="21"/>
                <w:szCs w:val="21"/>
              </w:rPr>
            </w:pPr>
          </w:p>
        </w:tc>
        <w:tc>
          <w:tcPr>
            <w:tcW w:w="733" w:type="dxa"/>
            <w:vAlign w:val="center"/>
          </w:tcPr>
          <w:p>
            <w:pPr>
              <w:snapToGrid w:val="0"/>
              <w:jc w:val="center"/>
              <w:rPr>
                <w:rFonts w:ascii="宋体" w:hAnsi="宋体"/>
                <w:sz w:val="21"/>
                <w:szCs w:val="21"/>
              </w:rPr>
            </w:pPr>
            <w:r>
              <w:rPr>
                <w:rFonts w:hint="eastAsia" w:ascii="宋体" w:hAnsi="宋体"/>
                <w:sz w:val="21"/>
                <w:szCs w:val="21"/>
              </w:rPr>
              <w:t>√</w:t>
            </w:r>
          </w:p>
        </w:tc>
      </w:tr>
      <w:bookmarkEnd w:id="9"/>
      <w:bookmarkEnd w:id="10"/>
      <w:bookmarkEnd w:id="11"/>
      <w:bookmarkEnd w:id="12"/>
      <w:bookmarkEnd w:id="13"/>
      <w:bookmarkEnd w:id="14"/>
    </w:tbl>
    <w:p>
      <w:pPr>
        <w:snapToGrid w:val="0"/>
        <w:spacing w:line="440" w:lineRule="exact"/>
        <w:rPr>
          <w:rFonts w:ascii="宋体" w:hAnsi="宋体"/>
          <w:bCs/>
          <w:sz w:val="24"/>
        </w:rPr>
      </w:pPr>
    </w:p>
    <w:p>
      <w:pPr>
        <w:bidi w:val="0"/>
        <w:jc w:val="right"/>
        <w:rPr>
          <w:rFonts w:hint="eastAsia"/>
          <w:sz w:val="24"/>
          <w:szCs w:val="24"/>
        </w:rPr>
      </w:pPr>
      <w:r>
        <w:rPr>
          <w:rFonts w:hint="eastAsia"/>
          <w:sz w:val="24"/>
          <w:szCs w:val="24"/>
        </w:rPr>
        <w:t>编制时间：202</w:t>
      </w:r>
      <w:r>
        <w:rPr>
          <w:rFonts w:hint="eastAsia"/>
          <w:sz w:val="24"/>
          <w:szCs w:val="24"/>
          <w:lang w:val="en-US" w:eastAsia="zh-CN"/>
        </w:rPr>
        <w:t>1</w:t>
      </w:r>
      <w:r>
        <w:rPr>
          <w:rFonts w:hint="eastAsia"/>
          <w:sz w:val="24"/>
          <w:szCs w:val="24"/>
        </w:rPr>
        <w:t>年7月</w:t>
      </w:r>
    </w:p>
    <w:p>
      <w:pPr>
        <w:snapToGrid w:val="0"/>
        <w:spacing w:line="440" w:lineRule="exact"/>
        <w:ind w:firstLine="643" w:firstLineChars="200"/>
        <w:jc w:val="center"/>
        <w:rPr>
          <w:rFonts w:ascii="宋体" w:hAnsi="宋体"/>
          <w:bCs/>
          <w:sz w:val="24"/>
          <w:szCs w:val="22"/>
        </w:rPr>
      </w:pPr>
      <w:r>
        <w:rPr>
          <w:rFonts w:ascii="等线 Light" w:hAnsi="等线 Light" w:eastAsia="等线 Light"/>
          <w:b/>
          <w:bCs/>
          <w:sz w:val="32"/>
          <w:szCs w:val="32"/>
        </w:rPr>
        <w:br w:type="page"/>
      </w:r>
      <w:r>
        <w:rPr>
          <w:rFonts w:hint="eastAsia" w:ascii="等线 Light" w:hAnsi="等线 Light" w:eastAsia="等线 Light"/>
          <w:b/>
          <w:bCs/>
          <w:sz w:val="32"/>
          <w:szCs w:val="32"/>
          <w:highlight w:val="none"/>
        </w:rPr>
        <w:t>附表：城市轨道交通运营管理专业教学进程表</w:t>
      </w:r>
    </w:p>
    <w:tbl>
      <w:tblPr>
        <w:tblW w:w="100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16"/>
        <w:gridCol w:w="366"/>
        <w:gridCol w:w="450"/>
        <w:gridCol w:w="1808"/>
        <w:gridCol w:w="825"/>
        <w:gridCol w:w="690"/>
        <w:gridCol w:w="496"/>
        <w:gridCol w:w="450"/>
        <w:gridCol w:w="630"/>
        <w:gridCol w:w="516"/>
        <w:gridCol w:w="516"/>
        <w:gridCol w:w="516"/>
        <w:gridCol w:w="516"/>
        <w:gridCol w:w="450"/>
        <w:gridCol w:w="450"/>
        <w:gridCol w:w="450"/>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095" w:type="dxa"/>
            <w:gridSpan w:val="17"/>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54"/>
                <w:bdr w:val="none" w:color="auto" w:sz="0" w:space="0"/>
                <w:lang w:val="en-US" w:eastAsia="zh-CN" w:bidi="ar"/>
              </w:rPr>
              <w:t>绍兴市中等专业学校</w:t>
            </w:r>
            <w:r>
              <w:rPr>
                <w:rStyle w:val="55"/>
                <w:bdr w:val="none" w:color="auto" w:sz="0" w:space="0"/>
                <w:lang w:val="en-US" w:eastAsia="zh-CN" w:bidi="ar"/>
              </w:rPr>
              <w:t>城市轨道交通运营服务</w:t>
            </w:r>
            <w:r>
              <w:rPr>
                <w:rStyle w:val="54"/>
                <w:bdr w:val="none" w:color="auto" w:sz="0" w:space="0"/>
                <w:lang w:val="en-US" w:eastAsia="zh-CN" w:bidi="ar"/>
              </w:rPr>
              <w:t>专业教学进程表</w:t>
            </w:r>
            <w:r>
              <w:rPr>
                <w:rStyle w:val="55"/>
                <w:bdr w:val="none" w:color="auto" w:sz="0" w:space="0"/>
                <w:lang w:val="en-US" w:eastAsia="zh-CN" w:bidi="ar"/>
              </w:rPr>
              <w:t>（五年制）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课程属性</w:t>
            </w:r>
          </w:p>
        </w:tc>
        <w:tc>
          <w:tcPr>
            <w:tcW w:w="4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序号</w:t>
            </w:r>
          </w:p>
        </w:tc>
        <w:tc>
          <w:tcPr>
            <w:tcW w:w="24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课程名称</w:t>
            </w:r>
          </w:p>
        </w:tc>
        <w:tc>
          <w:tcPr>
            <w:tcW w:w="8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课程代码</w:t>
            </w:r>
          </w:p>
        </w:tc>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课程</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性质</w:t>
            </w:r>
          </w:p>
        </w:tc>
        <w:tc>
          <w:tcPr>
            <w:tcW w:w="4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考试</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方式</w:t>
            </w:r>
          </w:p>
        </w:tc>
        <w:tc>
          <w:tcPr>
            <w:tcW w:w="4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学分</w:t>
            </w:r>
          </w:p>
        </w:tc>
        <w:tc>
          <w:tcPr>
            <w:tcW w:w="15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教学时数</w:t>
            </w:r>
          </w:p>
        </w:tc>
        <w:tc>
          <w:tcPr>
            <w:tcW w:w="270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课程教学各学期周学时/实践周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总</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学时</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理论</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学时</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实践</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学时</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一</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三</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四</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五</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公共基础课程</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语文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4"/>
                <w:szCs w:val="14"/>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数学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4"/>
                <w:szCs w:val="14"/>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450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英语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4"/>
                <w:szCs w:val="14"/>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450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思想政治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4"/>
                <w:szCs w:val="14"/>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信息技术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4"/>
                <w:szCs w:val="14"/>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体育与健康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4"/>
                <w:szCs w:val="14"/>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艺术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4"/>
                <w:szCs w:val="14"/>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24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心理健康</w:t>
            </w:r>
          </w:p>
        </w:tc>
        <w:tc>
          <w:tcPr>
            <w:tcW w:w="0" w:type="auto"/>
            <w:tcBorders>
              <w:top w:val="single" w:color="000000" w:sz="4" w:space="0"/>
              <w:left w:val="single" w:color="000000" w:sz="4" w:space="0"/>
              <w:bottom w:val="nil"/>
              <w:right w:val="single" w:color="000000" w:sz="4" w:space="0"/>
            </w:tcBorders>
            <w:shd w:val="clear"/>
            <w:noWrap/>
            <w:vAlign w:val="center"/>
          </w:tcPr>
          <w:p>
            <w:pPr>
              <w:rPr>
                <w:rFonts w:hint="eastAsia" w:ascii="宋体" w:hAnsi="宋体" w:eastAsia="宋体" w:cs="宋体"/>
                <w:i w:val="0"/>
                <w:iCs w:val="0"/>
                <w:color w:val="000000"/>
                <w:sz w:val="14"/>
                <w:szCs w:val="14"/>
                <w:u w:val="none"/>
              </w:rPr>
            </w:pP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63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40</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34</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6</w:t>
            </w: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w:t>
            </w:r>
          </w:p>
        </w:tc>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w:t>
            </w: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9</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思想道德修养与法律基础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4"/>
                <w:szCs w:val="14"/>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36</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4"/>
                <w:szCs w:val="1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10</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毛泽东思想和中国特色社会主义理论体系概论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63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40</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36</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历史</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63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40</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36</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w:t>
            </w: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5"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小计</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104</w:t>
            </w:r>
          </w:p>
        </w:tc>
        <w:tc>
          <w:tcPr>
            <w:tcW w:w="63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2080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1650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430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19</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19</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（技能）课程</w:t>
            </w:r>
          </w:p>
        </w:tc>
        <w:tc>
          <w:tcPr>
            <w:tcW w:w="270"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专业融通课程</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金工实习</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66317201</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36</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13</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电工基本电路安装与调试</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66314302</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14</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电子基本电路装接与调试</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66314306</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机械基础</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66314704</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16</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AutoCAD</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66317305</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17</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工厂电气控制设备</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66317408</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18</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机床电气故障诊断与维修</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66317462</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19</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PLC应用技术</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66317209</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36</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825" w:type="dxa"/>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69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5"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小计</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480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198</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282</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专业核心课程</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21</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城市轨道交通概论*</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70645410</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22</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城市轨道交通车站设备*</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70645411</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23</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城市轨道交通客运组织*</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70645312</w:t>
            </w:r>
          </w:p>
        </w:tc>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54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24</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城市轨道交通工程识图</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70648413</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25</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城市轨道交通行车组织*</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70645414</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26</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城市轨道交通员工职业素养</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70645215</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36</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27</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城市轨道交通票务管理*</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70645416</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28</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城市轨道交通客运服务</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70645217</w:t>
            </w:r>
          </w:p>
        </w:tc>
        <w:tc>
          <w:tcPr>
            <w:tcW w:w="69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必修课</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36</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5"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小计</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27</w:t>
            </w:r>
          </w:p>
        </w:tc>
        <w:tc>
          <w:tcPr>
            <w:tcW w:w="63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540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422</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118</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专业拓展课程</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29</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城市轨道交通法规</w:t>
            </w:r>
          </w:p>
        </w:tc>
        <w:tc>
          <w:tcPr>
            <w:tcW w:w="82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70646118</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专业选修（限选）</w:t>
            </w: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城市轨道交通车站运作管理</w:t>
            </w:r>
          </w:p>
        </w:tc>
        <w:tc>
          <w:tcPr>
            <w:tcW w:w="82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70646419</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专业选修（限选）</w:t>
            </w:r>
          </w:p>
        </w:tc>
        <w:tc>
          <w:tcPr>
            <w:tcW w:w="45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45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31</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普通话</w:t>
            </w:r>
          </w:p>
        </w:tc>
        <w:tc>
          <w:tcPr>
            <w:tcW w:w="82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70649220</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专业选修（限选）</w:t>
            </w: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36</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32</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自动售检票系统及检修</w:t>
            </w:r>
          </w:p>
        </w:tc>
        <w:tc>
          <w:tcPr>
            <w:tcW w:w="82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70646421</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专业选修（限选）</w:t>
            </w:r>
          </w:p>
        </w:tc>
        <w:tc>
          <w:tcPr>
            <w:tcW w:w="45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45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33</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城轨应急处理与公共安全</w:t>
            </w:r>
          </w:p>
        </w:tc>
        <w:tc>
          <w:tcPr>
            <w:tcW w:w="82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70649422</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专业选修（限选）</w:t>
            </w: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考查</w:t>
            </w: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34</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城市轨道交通站务实训</w:t>
            </w:r>
          </w:p>
        </w:tc>
        <w:tc>
          <w:tcPr>
            <w:tcW w:w="82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70649423</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专业选修（限选）</w:t>
            </w: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35</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城市轨道交通信号设备基础与实训</w:t>
            </w:r>
          </w:p>
        </w:tc>
        <w:tc>
          <w:tcPr>
            <w:tcW w:w="82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70649424</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专业选修（限选）</w:t>
            </w: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考试</w:t>
            </w: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72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4"/>
                <w:szCs w:val="14"/>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5"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小计</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23</w:t>
            </w:r>
          </w:p>
        </w:tc>
        <w:tc>
          <w:tcPr>
            <w:tcW w:w="63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460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190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270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85" w:type="dxa"/>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合计</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178</w:t>
            </w:r>
          </w:p>
        </w:tc>
        <w:tc>
          <w:tcPr>
            <w:tcW w:w="63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3560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2460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1100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29</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29</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32</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28</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素质拓展课程及</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其他教学环节</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36</w:t>
            </w:r>
          </w:p>
        </w:tc>
        <w:tc>
          <w:tcPr>
            <w:tcW w:w="32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    根据上级文件结合学校情况开设，主要包含国家安全教育、节能减排、绿色环保、金融知识、社会责任、人口资源、海洋科学、管理等人文素养、科学素养方面的拓展课程。</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自由选修</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考查</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37</w:t>
            </w:r>
          </w:p>
        </w:tc>
        <w:tc>
          <w:tcPr>
            <w:tcW w:w="32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军事训练及入学教育</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25</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38</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识岗</w:t>
            </w:r>
          </w:p>
        </w:tc>
        <w:tc>
          <w:tcPr>
            <w:tcW w:w="82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0.2W</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39</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习岗</w:t>
            </w:r>
          </w:p>
        </w:tc>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0.3W</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跟岗</w:t>
            </w:r>
          </w:p>
        </w:tc>
        <w:tc>
          <w:tcPr>
            <w:tcW w:w="8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41</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顶岗（毕业设计）</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5"/>
                <w:szCs w:val="15"/>
                <w:u w:val="none"/>
              </w:rPr>
            </w:pPr>
          </w:p>
        </w:tc>
        <w:tc>
          <w:tcPr>
            <w:tcW w:w="4815"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小计</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710</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45</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665</w:t>
            </w: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15"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总计</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214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4270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2505</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1765</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31</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32</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28</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w:t>
            </w:r>
          </w:p>
        </w:tc>
      </w:tr>
    </w:tbl>
    <w:p>
      <w:pPr>
        <w:spacing w:line="440" w:lineRule="atLeast"/>
        <w:ind w:firstLine="560" w:firstLineChars="200"/>
        <w:jc w:val="left"/>
        <w:rPr>
          <w:rFonts w:ascii="仿宋_GB2312" w:eastAsia="仿宋_GB2312"/>
          <w:sz w:val="28"/>
          <w:szCs w:val="28"/>
        </w:rPr>
      </w:pPr>
      <w:bookmarkStart w:id="19" w:name="_GoBack"/>
      <w:bookmarkEnd w:id="19"/>
    </w:p>
    <w:sectPr>
      <w:footerReference r:id="rId3" w:type="default"/>
      <w:pgSz w:w="11906" w:h="16838"/>
      <w:pgMar w:top="1134" w:right="1134" w:bottom="1134" w:left="1418"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7BED7"/>
    <w:multiLevelType w:val="singleLevel"/>
    <w:tmpl w:val="1A97BED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9C0"/>
    <w:rsid w:val="0000267F"/>
    <w:rsid w:val="000055A9"/>
    <w:rsid w:val="0001006E"/>
    <w:rsid w:val="00011569"/>
    <w:rsid w:val="00013080"/>
    <w:rsid w:val="000142F4"/>
    <w:rsid w:val="00015B04"/>
    <w:rsid w:val="00021E42"/>
    <w:rsid w:val="000226B7"/>
    <w:rsid w:val="00023CDA"/>
    <w:rsid w:val="00024A93"/>
    <w:rsid w:val="00024AF3"/>
    <w:rsid w:val="00025A60"/>
    <w:rsid w:val="000268BF"/>
    <w:rsid w:val="00026E25"/>
    <w:rsid w:val="000343BA"/>
    <w:rsid w:val="00035DE2"/>
    <w:rsid w:val="00036686"/>
    <w:rsid w:val="00037425"/>
    <w:rsid w:val="00037FA8"/>
    <w:rsid w:val="0004035C"/>
    <w:rsid w:val="00047CA2"/>
    <w:rsid w:val="00050F9D"/>
    <w:rsid w:val="000526C5"/>
    <w:rsid w:val="00053A7F"/>
    <w:rsid w:val="00056778"/>
    <w:rsid w:val="00056D52"/>
    <w:rsid w:val="000608A8"/>
    <w:rsid w:val="00060ADB"/>
    <w:rsid w:val="00060E5D"/>
    <w:rsid w:val="00070960"/>
    <w:rsid w:val="0007152C"/>
    <w:rsid w:val="00072064"/>
    <w:rsid w:val="000729ED"/>
    <w:rsid w:val="000738B9"/>
    <w:rsid w:val="00073B93"/>
    <w:rsid w:val="0007718E"/>
    <w:rsid w:val="00077FF4"/>
    <w:rsid w:val="000819C0"/>
    <w:rsid w:val="00095669"/>
    <w:rsid w:val="000A0E9D"/>
    <w:rsid w:val="000A1068"/>
    <w:rsid w:val="000A2928"/>
    <w:rsid w:val="000A3FF9"/>
    <w:rsid w:val="000A528E"/>
    <w:rsid w:val="000B05CC"/>
    <w:rsid w:val="000B0AC6"/>
    <w:rsid w:val="000B0C58"/>
    <w:rsid w:val="000B208A"/>
    <w:rsid w:val="000B2117"/>
    <w:rsid w:val="000B288F"/>
    <w:rsid w:val="000B44B7"/>
    <w:rsid w:val="000B5EC5"/>
    <w:rsid w:val="000B6CA5"/>
    <w:rsid w:val="000B70E1"/>
    <w:rsid w:val="000B7139"/>
    <w:rsid w:val="000B7195"/>
    <w:rsid w:val="000C1527"/>
    <w:rsid w:val="000C221C"/>
    <w:rsid w:val="000C29FF"/>
    <w:rsid w:val="000C491F"/>
    <w:rsid w:val="000C6CFE"/>
    <w:rsid w:val="000C7915"/>
    <w:rsid w:val="000D1C91"/>
    <w:rsid w:val="000D351C"/>
    <w:rsid w:val="000D4C2F"/>
    <w:rsid w:val="000D5F7E"/>
    <w:rsid w:val="000D75E0"/>
    <w:rsid w:val="000D7874"/>
    <w:rsid w:val="000E2EDC"/>
    <w:rsid w:val="000E57C1"/>
    <w:rsid w:val="000E68A7"/>
    <w:rsid w:val="000F270C"/>
    <w:rsid w:val="000F29B7"/>
    <w:rsid w:val="000F4401"/>
    <w:rsid w:val="000F4529"/>
    <w:rsid w:val="001000E5"/>
    <w:rsid w:val="00101D92"/>
    <w:rsid w:val="00102943"/>
    <w:rsid w:val="00103D03"/>
    <w:rsid w:val="00103DF7"/>
    <w:rsid w:val="0010500F"/>
    <w:rsid w:val="00106338"/>
    <w:rsid w:val="00106A95"/>
    <w:rsid w:val="00106D98"/>
    <w:rsid w:val="00113A37"/>
    <w:rsid w:val="00115FAD"/>
    <w:rsid w:val="00116CCE"/>
    <w:rsid w:val="00120114"/>
    <w:rsid w:val="001302AD"/>
    <w:rsid w:val="001302DE"/>
    <w:rsid w:val="0013030C"/>
    <w:rsid w:val="00131C6C"/>
    <w:rsid w:val="001348C6"/>
    <w:rsid w:val="00137881"/>
    <w:rsid w:val="001428FA"/>
    <w:rsid w:val="001434E0"/>
    <w:rsid w:val="001440BA"/>
    <w:rsid w:val="00155B2D"/>
    <w:rsid w:val="00155C54"/>
    <w:rsid w:val="00162661"/>
    <w:rsid w:val="0016352D"/>
    <w:rsid w:val="001635D9"/>
    <w:rsid w:val="001646E8"/>
    <w:rsid w:val="00164F1F"/>
    <w:rsid w:val="00165E75"/>
    <w:rsid w:val="001671B7"/>
    <w:rsid w:val="001703B9"/>
    <w:rsid w:val="001704CA"/>
    <w:rsid w:val="00171A3F"/>
    <w:rsid w:val="00173FD2"/>
    <w:rsid w:val="00174116"/>
    <w:rsid w:val="00175D2E"/>
    <w:rsid w:val="0017724D"/>
    <w:rsid w:val="001807DE"/>
    <w:rsid w:val="00181C3E"/>
    <w:rsid w:val="00186FB3"/>
    <w:rsid w:val="00187D44"/>
    <w:rsid w:val="001905AE"/>
    <w:rsid w:val="001928F7"/>
    <w:rsid w:val="001941B0"/>
    <w:rsid w:val="001949B1"/>
    <w:rsid w:val="00196D9E"/>
    <w:rsid w:val="001A0A34"/>
    <w:rsid w:val="001A1776"/>
    <w:rsid w:val="001A205B"/>
    <w:rsid w:val="001A2EDD"/>
    <w:rsid w:val="001A4A11"/>
    <w:rsid w:val="001A55CB"/>
    <w:rsid w:val="001A5C5D"/>
    <w:rsid w:val="001B4F1A"/>
    <w:rsid w:val="001B690A"/>
    <w:rsid w:val="001B7EDC"/>
    <w:rsid w:val="001C3E95"/>
    <w:rsid w:val="001C4096"/>
    <w:rsid w:val="001C4CFD"/>
    <w:rsid w:val="001D1553"/>
    <w:rsid w:val="001D2669"/>
    <w:rsid w:val="001D3AAF"/>
    <w:rsid w:val="001D4151"/>
    <w:rsid w:val="001E2222"/>
    <w:rsid w:val="001E2FA7"/>
    <w:rsid w:val="001E393B"/>
    <w:rsid w:val="001E43E7"/>
    <w:rsid w:val="001E4D56"/>
    <w:rsid w:val="001E6259"/>
    <w:rsid w:val="001E647F"/>
    <w:rsid w:val="001E6D20"/>
    <w:rsid w:val="001E6EBC"/>
    <w:rsid w:val="001F0620"/>
    <w:rsid w:val="001F0ABB"/>
    <w:rsid w:val="001F1195"/>
    <w:rsid w:val="001F1A07"/>
    <w:rsid w:val="001F3C46"/>
    <w:rsid w:val="001F3E4A"/>
    <w:rsid w:val="001F4206"/>
    <w:rsid w:val="001F4E55"/>
    <w:rsid w:val="00200266"/>
    <w:rsid w:val="002047F0"/>
    <w:rsid w:val="002057E9"/>
    <w:rsid w:val="0020595D"/>
    <w:rsid w:val="00207588"/>
    <w:rsid w:val="0020793B"/>
    <w:rsid w:val="0021240F"/>
    <w:rsid w:val="00213A73"/>
    <w:rsid w:val="00213B3A"/>
    <w:rsid w:val="00214209"/>
    <w:rsid w:val="0023349E"/>
    <w:rsid w:val="0023587E"/>
    <w:rsid w:val="0023632C"/>
    <w:rsid w:val="00242EBE"/>
    <w:rsid w:val="002435DE"/>
    <w:rsid w:val="00246024"/>
    <w:rsid w:val="00247202"/>
    <w:rsid w:val="0025055D"/>
    <w:rsid w:val="0025099C"/>
    <w:rsid w:val="00250DD0"/>
    <w:rsid w:val="00253893"/>
    <w:rsid w:val="00257F6A"/>
    <w:rsid w:val="00260349"/>
    <w:rsid w:val="00262FFA"/>
    <w:rsid w:val="00263EFF"/>
    <w:rsid w:val="002711F0"/>
    <w:rsid w:val="00273822"/>
    <w:rsid w:val="002739BE"/>
    <w:rsid w:val="00274E3F"/>
    <w:rsid w:val="00276030"/>
    <w:rsid w:val="00283D69"/>
    <w:rsid w:val="00286604"/>
    <w:rsid w:val="00292843"/>
    <w:rsid w:val="00293E4D"/>
    <w:rsid w:val="0029455E"/>
    <w:rsid w:val="002A1F48"/>
    <w:rsid w:val="002A2951"/>
    <w:rsid w:val="002A38C3"/>
    <w:rsid w:val="002A5C10"/>
    <w:rsid w:val="002A6E5F"/>
    <w:rsid w:val="002A7DE6"/>
    <w:rsid w:val="002B2255"/>
    <w:rsid w:val="002B22FC"/>
    <w:rsid w:val="002B3585"/>
    <w:rsid w:val="002B394E"/>
    <w:rsid w:val="002B3FE5"/>
    <w:rsid w:val="002B65EB"/>
    <w:rsid w:val="002B6CC5"/>
    <w:rsid w:val="002C1A55"/>
    <w:rsid w:val="002C27A8"/>
    <w:rsid w:val="002C590E"/>
    <w:rsid w:val="002C6554"/>
    <w:rsid w:val="002C673E"/>
    <w:rsid w:val="002C67E8"/>
    <w:rsid w:val="002C79E4"/>
    <w:rsid w:val="002D005E"/>
    <w:rsid w:val="002D33F0"/>
    <w:rsid w:val="002D3E90"/>
    <w:rsid w:val="002D4052"/>
    <w:rsid w:val="002D61F9"/>
    <w:rsid w:val="002D7912"/>
    <w:rsid w:val="002E184D"/>
    <w:rsid w:val="002E3A08"/>
    <w:rsid w:val="002E54F4"/>
    <w:rsid w:val="002F0903"/>
    <w:rsid w:val="002F3326"/>
    <w:rsid w:val="002F5A75"/>
    <w:rsid w:val="00302B55"/>
    <w:rsid w:val="00304B28"/>
    <w:rsid w:val="00307F2D"/>
    <w:rsid w:val="003114E9"/>
    <w:rsid w:val="003124B9"/>
    <w:rsid w:val="0031434D"/>
    <w:rsid w:val="00314C4A"/>
    <w:rsid w:val="00315F38"/>
    <w:rsid w:val="0031735E"/>
    <w:rsid w:val="00321139"/>
    <w:rsid w:val="00321CC6"/>
    <w:rsid w:val="00322010"/>
    <w:rsid w:val="003236A9"/>
    <w:rsid w:val="0032411E"/>
    <w:rsid w:val="00325398"/>
    <w:rsid w:val="00325681"/>
    <w:rsid w:val="0032661B"/>
    <w:rsid w:val="00327159"/>
    <w:rsid w:val="003317C0"/>
    <w:rsid w:val="00333AB1"/>
    <w:rsid w:val="00337F5A"/>
    <w:rsid w:val="003427B2"/>
    <w:rsid w:val="003439F1"/>
    <w:rsid w:val="00344A71"/>
    <w:rsid w:val="003461D8"/>
    <w:rsid w:val="003514E6"/>
    <w:rsid w:val="0035162D"/>
    <w:rsid w:val="003519CB"/>
    <w:rsid w:val="0035710B"/>
    <w:rsid w:val="00365414"/>
    <w:rsid w:val="003804D5"/>
    <w:rsid w:val="003807D6"/>
    <w:rsid w:val="003808E1"/>
    <w:rsid w:val="0038200E"/>
    <w:rsid w:val="00382DC1"/>
    <w:rsid w:val="00383945"/>
    <w:rsid w:val="00383BBC"/>
    <w:rsid w:val="00385954"/>
    <w:rsid w:val="00385A88"/>
    <w:rsid w:val="00386CDF"/>
    <w:rsid w:val="00387A56"/>
    <w:rsid w:val="00387D67"/>
    <w:rsid w:val="00390B37"/>
    <w:rsid w:val="00392751"/>
    <w:rsid w:val="003928B1"/>
    <w:rsid w:val="0039574F"/>
    <w:rsid w:val="00396827"/>
    <w:rsid w:val="00397D5E"/>
    <w:rsid w:val="003A0FB7"/>
    <w:rsid w:val="003A48AD"/>
    <w:rsid w:val="003A4F55"/>
    <w:rsid w:val="003A7473"/>
    <w:rsid w:val="003A7CE2"/>
    <w:rsid w:val="003B2513"/>
    <w:rsid w:val="003B456D"/>
    <w:rsid w:val="003B77D9"/>
    <w:rsid w:val="003C0EF0"/>
    <w:rsid w:val="003C1E64"/>
    <w:rsid w:val="003C42B5"/>
    <w:rsid w:val="003C6531"/>
    <w:rsid w:val="003D1C37"/>
    <w:rsid w:val="003D1DF5"/>
    <w:rsid w:val="003D32FF"/>
    <w:rsid w:val="003D3C6F"/>
    <w:rsid w:val="003D5269"/>
    <w:rsid w:val="003D7E04"/>
    <w:rsid w:val="003E0ED2"/>
    <w:rsid w:val="003E219A"/>
    <w:rsid w:val="003E4570"/>
    <w:rsid w:val="003E5F7F"/>
    <w:rsid w:val="003E7A20"/>
    <w:rsid w:val="003E7D92"/>
    <w:rsid w:val="003F4559"/>
    <w:rsid w:val="00400772"/>
    <w:rsid w:val="0040178A"/>
    <w:rsid w:val="00403F20"/>
    <w:rsid w:val="004043F0"/>
    <w:rsid w:val="004058B5"/>
    <w:rsid w:val="004120A6"/>
    <w:rsid w:val="004126A7"/>
    <w:rsid w:val="00412AAF"/>
    <w:rsid w:val="00416447"/>
    <w:rsid w:val="004205A0"/>
    <w:rsid w:val="00422E48"/>
    <w:rsid w:val="00422E67"/>
    <w:rsid w:val="0042459C"/>
    <w:rsid w:val="00427DF2"/>
    <w:rsid w:val="004331D4"/>
    <w:rsid w:val="00434D0B"/>
    <w:rsid w:val="00434E6B"/>
    <w:rsid w:val="00435B51"/>
    <w:rsid w:val="00435F88"/>
    <w:rsid w:val="00441650"/>
    <w:rsid w:val="0044197F"/>
    <w:rsid w:val="004426FD"/>
    <w:rsid w:val="004430D2"/>
    <w:rsid w:val="004437E7"/>
    <w:rsid w:val="00444C32"/>
    <w:rsid w:val="0044536E"/>
    <w:rsid w:val="0044731E"/>
    <w:rsid w:val="004507EE"/>
    <w:rsid w:val="00461809"/>
    <w:rsid w:val="00461A93"/>
    <w:rsid w:val="00465FA3"/>
    <w:rsid w:val="00467443"/>
    <w:rsid w:val="0047192E"/>
    <w:rsid w:val="00472553"/>
    <w:rsid w:val="0047257C"/>
    <w:rsid w:val="0047364C"/>
    <w:rsid w:val="00473EDE"/>
    <w:rsid w:val="00481599"/>
    <w:rsid w:val="004819B7"/>
    <w:rsid w:val="00481C60"/>
    <w:rsid w:val="00482619"/>
    <w:rsid w:val="004841C8"/>
    <w:rsid w:val="00486DA9"/>
    <w:rsid w:val="0048774E"/>
    <w:rsid w:val="004907D3"/>
    <w:rsid w:val="00490D7E"/>
    <w:rsid w:val="00491218"/>
    <w:rsid w:val="00493780"/>
    <w:rsid w:val="00493C86"/>
    <w:rsid w:val="004949C0"/>
    <w:rsid w:val="00494F7B"/>
    <w:rsid w:val="004953AC"/>
    <w:rsid w:val="00497CA7"/>
    <w:rsid w:val="004A15DF"/>
    <w:rsid w:val="004A6411"/>
    <w:rsid w:val="004A7CD6"/>
    <w:rsid w:val="004B2BC1"/>
    <w:rsid w:val="004B522D"/>
    <w:rsid w:val="004B5320"/>
    <w:rsid w:val="004C0545"/>
    <w:rsid w:val="004C0F89"/>
    <w:rsid w:val="004C2768"/>
    <w:rsid w:val="004C34BE"/>
    <w:rsid w:val="004C64D2"/>
    <w:rsid w:val="004D0CF6"/>
    <w:rsid w:val="004D0F25"/>
    <w:rsid w:val="004D1478"/>
    <w:rsid w:val="004D398E"/>
    <w:rsid w:val="004D4AB1"/>
    <w:rsid w:val="004E1264"/>
    <w:rsid w:val="004E1F96"/>
    <w:rsid w:val="004E25CA"/>
    <w:rsid w:val="004E64DF"/>
    <w:rsid w:val="004E65EA"/>
    <w:rsid w:val="004E71A3"/>
    <w:rsid w:val="004E73FE"/>
    <w:rsid w:val="004F3CE7"/>
    <w:rsid w:val="004F4A9D"/>
    <w:rsid w:val="004F5374"/>
    <w:rsid w:val="004F5637"/>
    <w:rsid w:val="004F7D9D"/>
    <w:rsid w:val="00506380"/>
    <w:rsid w:val="00510FFE"/>
    <w:rsid w:val="005114E2"/>
    <w:rsid w:val="00512778"/>
    <w:rsid w:val="00520187"/>
    <w:rsid w:val="00525666"/>
    <w:rsid w:val="00526873"/>
    <w:rsid w:val="00530634"/>
    <w:rsid w:val="005322D6"/>
    <w:rsid w:val="005348A2"/>
    <w:rsid w:val="00535FD7"/>
    <w:rsid w:val="00536C9B"/>
    <w:rsid w:val="005404F2"/>
    <w:rsid w:val="00541339"/>
    <w:rsid w:val="005446A4"/>
    <w:rsid w:val="00544F78"/>
    <w:rsid w:val="00545095"/>
    <w:rsid w:val="00546D09"/>
    <w:rsid w:val="005538E5"/>
    <w:rsid w:val="005549DB"/>
    <w:rsid w:val="00554D16"/>
    <w:rsid w:val="005555A1"/>
    <w:rsid w:val="0055630E"/>
    <w:rsid w:val="00556340"/>
    <w:rsid w:val="00556603"/>
    <w:rsid w:val="005603B8"/>
    <w:rsid w:val="005606D7"/>
    <w:rsid w:val="00562AC6"/>
    <w:rsid w:val="00563216"/>
    <w:rsid w:val="00564BE0"/>
    <w:rsid w:val="0056613E"/>
    <w:rsid w:val="005675E7"/>
    <w:rsid w:val="00570232"/>
    <w:rsid w:val="00572A9B"/>
    <w:rsid w:val="00574B07"/>
    <w:rsid w:val="00574F13"/>
    <w:rsid w:val="00576E9B"/>
    <w:rsid w:val="00577B43"/>
    <w:rsid w:val="00577E0B"/>
    <w:rsid w:val="00583DAB"/>
    <w:rsid w:val="00590CAE"/>
    <w:rsid w:val="00591CA4"/>
    <w:rsid w:val="005927B6"/>
    <w:rsid w:val="00594E5C"/>
    <w:rsid w:val="005A15FF"/>
    <w:rsid w:val="005A2905"/>
    <w:rsid w:val="005A2AD3"/>
    <w:rsid w:val="005A4786"/>
    <w:rsid w:val="005A61E7"/>
    <w:rsid w:val="005B1BBB"/>
    <w:rsid w:val="005B4E68"/>
    <w:rsid w:val="005B4E73"/>
    <w:rsid w:val="005B5C74"/>
    <w:rsid w:val="005C1690"/>
    <w:rsid w:val="005C48B6"/>
    <w:rsid w:val="005C5A9F"/>
    <w:rsid w:val="005C72A9"/>
    <w:rsid w:val="005D310A"/>
    <w:rsid w:val="005D4B9F"/>
    <w:rsid w:val="005E14BF"/>
    <w:rsid w:val="005E26AC"/>
    <w:rsid w:val="005E32D9"/>
    <w:rsid w:val="005E3706"/>
    <w:rsid w:val="005E5F95"/>
    <w:rsid w:val="005E6961"/>
    <w:rsid w:val="005E6E42"/>
    <w:rsid w:val="005E723C"/>
    <w:rsid w:val="005E7B09"/>
    <w:rsid w:val="005E7FF8"/>
    <w:rsid w:val="005F1A3C"/>
    <w:rsid w:val="005F37AD"/>
    <w:rsid w:val="005F643D"/>
    <w:rsid w:val="005F7042"/>
    <w:rsid w:val="005F71E2"/>
    <w:rsid w:val="005F78A4"/>
    <w:rsid w:val="006016AB"/>
    <w:rsid w:val="00601D21"/>
    <w:rsid w:val="00604476"/>
    <w:rsid w:val="00604F1D"/>
    <w:rsid w:val="0060647E"/>
    <w:rsid w:val="00610E81"/>
    <w:rsid w:val="00611F59"/>
    <w:rsid w:val="0061319C"/>
    <w:rsid w:val="00613256"/>
    <w:rsid w:val="00613A27"/>
    <w:rsid w:val="006140A5"/>
    <w:rsid w:val="006177B8"/>
    <w:rsid w:val="00620930"/>
    <w:rsid w:val="00622246"/>
    <w:rsid w:val="00623AD9"/>
    <w:rsid w:val="00626A06"/>
    <w:rsid w:val="00627FF6"/>
    <w:rsid w:val="006307B6"/>
    <w:rsid w:val="00631096"/>
    <w:rsid w:val="006367A7"/>
    <w:rsid w:val="00637645"/>
    <w:rsid w:val="00641606"/>
    <w:rsid w:val="00643412"/>
    <w:rsid w:val="0064392A"/>
    <w:rsid w:val="0064536D"/>
    <w:rsid w:val="0064545E"/>
    <w:rsid w:val="006474DD"/>
    <w:rsid w:val="00652A63"/>
    <w:rsid w:val="00652C73"/>
    <w:rsid w:val="00653128"/>
    <w:rsid w:val="00653CED"/>
    <w:rsid w:val="00654AA4"/>
    <w:rsid w:val="00654D19"/>
    <w:rsid w:val="0065581B"/>
    <w:rsid w:val="00656FB0"/>
    <w:rsid w:val="00657E81"/>
    <w:rsid w:val="006609A3"/>
    <w:rsid w:val="006623E8"/>
    <w:rsid w:val="006665D4"/>
    <w:rsid w:val="00667906"/>
    <w:rsid w:val="00670648"/>
    <w:rsid w:val="0067130C"/>
    <w:rsid w:val="0067296A"/>
    <w:rsid w:val="00673170"/>
    <w:rsid w:val="00676B27"/>
    <w:rsid w:val="00677547"/>
    <w:rsid w:val="00677AE1"/>
    <w:rsid w:val="00682BDC"/>
    <w:rsid w:val="00683D06"/>
    <w:rsid w:val="0068501F"/>
    <w:rsid w:val="00686F90"/>
    <w:rsid w:val="0069038B"/>
    <w:rsid w:val="006972E6"/>
    <w:rsid w:val="006A12EC"/>
    <w:rsid w:val="006A2494"/>
    <w:rsid w:val="006A2812"/>
    <w:rsid w:val="006A47C7"/>
    <w:rsid w:val="006A4CA3"/>
    <w:rsid w:val="006A61B2"/>
    <w:rsid w:val="006B405D"/>
    <w:rsid w:val="006B5A51"/>
    <w:rsid w:val="006B778D"/>
    <w:rsid w:val="006C0D84"/>
    <w:rsid w:val="006C346A"/>
    <w:rsid w:val="006C43BE"/>
    <w:rsid w:val="006C5BD5"/>
    <w:rsid w:val="006C6131"/>
    <w:rsid w:val="006C7539"/>
    <w:rsid w:val="006D174E"/>
    <w:rsid w:val="006D2E72"/>
    <w:rsid w:val="006D3BB2"/>
    <w:rsid w:val="006D40D4"/>
    <w:rsid w:val="006D431B"/>
    <w:rsid w:val="006D4A47"/>
    <w:rsid w:val="006D5D84"/>
    <w:rsid w:val="006D6AB4"/>
    <w:rsid w:val="006E018A"/>
    <w:rsid w:val="006E18C3"/>
    <w:rsid w:val="006E4245"/>
    <w:rsid w:val="006E5EE3"/>
    <w:rsid w:val="006E6C38"/>
    <w:rsid w:val="006E7413"/>
    <w:rsid w:val="006F2D0E"/>
    <w:rsid w:val="006F3199"/>
    <w:rsid w:val="006F5890"/>
    <w:rsid w:val="006F5CBA"/>
    <w:rsid w:val="006F5F68"/>
    <w:rsid w:val="00702CF1"/>
    <w:rsid w:val="0070483F"/>
    <w:rsid w:val="007075C1"/>
    <w:rsid w:val="00707F02"/>
    <w:rsid w:val="007102BA"/>
    <w:rsid w:val="007103D9"/>
    <w:rsid w:val="00710897"/>
    <w:rsid w:val="00710DD2"/>
    <w:rsid w:val="00711D56"/>
    <w:rsid w:val="00712F18"/>
    <w:rsid w:val="007148F4"/>
    <w:rsid w:val="00715CB5"/>
    <w:rsid w:val="00716A42"/>
    <w:rsid w:val="007200A3"/>
    <w:rsid w:val="007209D0"/>
    <w:rsid w:val="00730112"/>
    <w:rsid w:val="00731CA6"/>
    <w:rsid w:val="007323A8"/>
    <w:rsid w:val="007330F8"/>
    <w:rsid w:val="0073444C"/>
    <w:rsid w:val="00736F04"/>
    <w:rsid w:val="007407A5"/>
    <w:rsid w:val="007407D0"/>
    <w:rsid w:val="00740844"/>
    <w:rsid w:val="00741ED3"/>
    <w:rsid w:val="00744C02"/>
    <w:rsid w:val="00746297"/>
    <w:rsid w:val="00747573"/>
    <w:rsid w:val="007475C8"/>
    <w:rsid w:val="00751527"/>
    <w:rsid w:val="00752D15"/>
    <w:rsid w:val="007534AB"/>
    <w:rsid w:val="00754FD3"/>
    <w:rsid w:val="00755A4E"/>
    <w:rsid w:val="007566CD"/>
    <w:rsid w:val="007574ED"/>
    <w:rsid w:val="00757E3F"/>
    <w:rsid w:val="00760C9A"/>
    <w:rsid w:val="007735F0"/>
    <w:rsid w:val="007749DF"/>
    <w:rsid w:val="007765DC"/>
    <w:rsid w:val="0078241C"/>
    <w:rsid w:val="00782624"/>
    <w:rsid w:val="007843AF"/>
    <w:rsid w:val="00785495"/>
    <w:rsid w:val="00785B41"/>
    <w:rsid w:val="007878C3"/>
    <w:rsid w:val="00791B36"/>
    <w:rsid w:val="00791E60"/>
    <w:rsid w:val="0079344A"/>
    <w:rsid w:val="00794389"/>
    <w:rsid w:val="00795117"/>
    <w:rsid w:val="00796253"/>
    <w:rsid w:val="00797FC3"/>
    <w:rsid w:val="007A2BF4"/>
    <w:rsid w:val="007A4F76"/>
    <w:rsid w:val="007A6BC3"/>
    <w:rsid w:val="007B1166"/>
    <w:rsid w:val="007B6241"/>
    <w:rsid w:val="007B683C"/>
    <w:rsid w:val="007B6FF4"/>
    <w:rsid w:val="007B737A"/>
    <w:rsid w:val="007C7CBA"/>
    <w:rsid w:val="007D2801"/>
    <w:rsid w:val="007D60F4"/>
    <w:rsid w:val="007D65D1"/>
    <w:rsid w:val="007E01F2"/>
    <w:rsid w:val="007E2D01"/>
    <w:rsid w:val="007E2E8C"/>
    <w:rsid w:val="007E47D1"/>
    <w:rsid w:val="007E49BE"/>
    <w:rsid w:val="007E7A3E"/>
    <w:rsid w:val="007E7E5E"/>
    <w:rsid w:val="007F106F"/>
    <w:rsid w:val="007F1559"/>
    <w:rsid w:val="007F3540"/>
    <w:rsid w:val="007F59BB"/>
    <w:rsid w:val="007F6967"/>
    <w:rsid w:val="008005DA"/>
    <w:rsid w:val="00803276"/>
    <w:rsid w:val="00803841"/>
    <w:rsid w:val="008043CF"/>
    <w:rsid w:val="00806816"/>
    <w:rsid w:val="00806EF3"/>
    <w:rsid w:val="0081701D"/>
    <w:rsid w:val="0082016A"/>
    <w:rsid w:val="008213DE"/>
    <w:rsid w:val="00822615"/>
    <w:rsid w:val="00824881"/>
    <w:rsid w:val="00824EAD"/>
    <w:rsid w:val="00825981"/>
    <w:rsid w:val="00826DA6"/>
    <w:rsid w:val="008275F2"/>
    <w:rsid w:val="00831144"/>
    <w:rsid w:val="00831955"/>
    <w:rsid w:val="008335AF"/>
    <w:rsid w:val="00834209"/>
    <w:rsid w:val="008342D4"/>
    <w:rsid w:val="00834E6C"/>
    <w:rsid w:val="00835595"/>
    <w:rsid w:val="008366BC"/>
    <w:rsid w:val="00840564"/>
    <w:rsid w:val="008406B6"/>
    <w:rsid w:val="0084563B"/>
    <w:rsid w:val="00847EC4"/>
    <w:rsid w:val="008508E8"/>
    <w:rsid w:val="00851006"/>
    <w:rsid w:val="0085106B"/>
    <w:rsid w:val="00852E2A"/>
    <w:rsid w:val="00853C5B"/>
    <w:rsid w:val="0085547E"/>
    <w:rsid w:val="0086317F"/>
    <w:rsid w:val="00864729"/>
    <w:rsid w:val="00864E61"/>
    <w:rsid w:val="00865143"/>
    <w:rsid w:val="00867B3D"/>
    <w:rsid w:val="00871CF3"/>
    <w:rsid w:val="008737B7"/>
    <w:rsid w:val="0087447E"/>
    <w:rsid w:val="00874B00"/>
    <w:rsid w:val="00876A5C"/>
    <w:rsid w:val="008809AC"/>
    <w:rsid w:val="008839C5"/>
    <w:rsid w:val="00885B0E"/>
    <w:rsid w:val="008860E7"/>
    <w:rsid w:val="00887B7A"/>
    <w:rsid w:val="008904DF"/>
    <w:rsid w:val="00891954"/>
    <w:rsid w:val="00892F17"/>
    <w:rsid w:val="008966BD"/>
    <w:rsid w:val="00897080"/>
    <w:rsid w:val="00897A7D"/>
    <w:rsid w:val="008A32EA"/>
    <w:rsid w:val="008B1243"/>
    <w:rsid w:val="008B3146"/>
    <w:rsid w:val="008B6D3D"/>
    <w:rsid w:val="008C06A1"/>
    <w:rsid w:val="008C4388"/>
    <w:rsid w:val="008C5A0A"/>
    <w:rsid w:val="008C5D2D"/>
    <w:rsid w:val="008C60A7"/>
    <w:rsid w:val="008C615E"/>
    <w:rsid w:val="008C64CD"/>
    <w:rsid w:val="008D084A"/>
    <w:rsid w:val="008D09EF"/>
    <w:rsid w:val="008E711B"/>
    <w:rsid w:val="008F1590"/>
    <w:rsid w:val="008F1AEB"/>
    <w:rsid w:val="008F476F"/>
    <w:rsid w:val="008F5294"/>
    <w:rsid w:val="008F5530"/>
    <w:rsid w:val="009025AC"/>
    <w:rsid w:val="00905C2E"/>
    <w:rsid w:val="00910613"/>
    <w:rsid w:val="00912706"/>
    <w:rsid w:val="00912CA8"/>
    <w:rsid w:val="009173C2"/>
    <w:rsid w:val="009219BB"/>
    <w:rsid w:val="00922B58"/>
    <w:rsid w:val="0092796C"/>
    <w:rsid w:val="00931D7D"/>
    <w:rsid w:val="0093334C"/>
    <w:rsid w:val="009344E8"/>
    <w:rsid w:val="00934C03"/>
    <w:rsid w:val="00935556"/>
    <w:rsid w:val="009361AD"/>
    <w:rsid w:val="009400FA"/>
    <w:rsid w:val="00940F5E"/>
    <w:rsid w:val="00941B24"/>
    <w:rsid w:val="00941D06"/>
    <w:rsid w:val="00943410"/>
    <w:rsid w:val="00945493"/>
    <w:rsid w:val="00945FCF"/>
    <w:rsid w:val="009461A0"/>
    <w:rsid w:val="00947165"/>
    <w:rsid w:val="00947237"/>
    <w:rsid w:val="00950B02"/>
    <w:rsid w:val="0095368A"/>
    <w:rsid w:val="00954278"/>
    <w:rsid w:val="00955BA2"/>
    <w:rsid w:val="009567DC"/>
    <w:rsid w:val="00957ADF"/>
    <w:rsid w:val="00960C31"/>
    <w:rsid w:val="00960F14"/>
    <w:rsid w:val="00962E3D"/>
    <w:rsid w:val="00963755"/>
    <w:rsid w:val="00964081"/>
    <w:rsid w:val="00970511"/>
    <w:rsid w:val="00970D62"/>
    <w:rsid w:val="00971BA8"/>
    <w:rsid w:val="0097756F"/>
    <w:rsid w:val="009836AA"/>
    <w:rsid w:val="00983C66"/>
    <w:rsid w:val="00986931"/>
    <w:rsid w:val="00990778"/>
    <w:rsid w:val="00992E48"/>
    <w:rsid w:val="0099446C"/>
    <w:rsid w:val="009950A6"/>
    <w:rsid w:val="00996118"/>
    <w:rsid w:val="009963E0"/>
    <w:rsid w:val="009A1D9B"/>
    <w:rsid w:val="009A1F0E"/>
    <w:rsid w:val="009A2FB2"/>
    <w:rsid w:val="009A43D1"/>
    <w:rsid w:val="009B00AE"/>
    <w:rsid w:val="009B0F43"/>
    <w:rsid w:val="009B14B1"/>
    <w:rsid w:val="009B3CEE"/>
    <w:rsid w:val="009C2AA1"/>
    <w:rsid w:val="009C77FD"/>
    <w:rsid w:val="009D0305"/>
    <w:rsid w:val="009D1619"/>
    <w:rsid w:val="009D1F5C"/>
    <w:rsid w:val="009D22D8"/>
    <w:rsid w:val="009D4D8B"/>
    <w:rsid w:val="009D5FB9"/>
    <w:rsid w:val="009D64A0"/>
    <w:rsid w:val="009E2A0B"/>
    <w:rsid w:val="009E2BC0"/>
    <w:rsid w:val="009E3D74"/>
    <w:rsid w:val="009E53C1"/>
    <w:rsid w:val="009E6D70"/>
    <w:rsid w:val="009F396F"/>
    <w:rsid w:val="009F3E01"/>
    <w:rsid w:val="009F4E94"/>
    <w:rsid w:val="00A02CD5"/>
    <w:rsid w:val="00A03062"/>
    <w:rsid w:val="00A03921"/>
    <w:rsid w:val="00A065CA"/>
    <w:rsid w:val="00A06D29"/>
    <w:rsid w:val="00A07104"/>
    <w:rsid w:val="00A0712A"/>
    <w:rsid w:val="00A07207"/>
    <w:rsid w:val="00A0768A"/>
    <w:rsid w:val="00A07FD4"/>
    <w:rsid w:val="00A11CC5"/>
    <w:rsid w:val="00A1360D"/>
    <w:rsid w:val="00A14063"/>
    <w:rsid w:val="00A167F7"/>
    <w:rsid w:val="00A20C47"/>
    <w:rsid w:val="00A222CE"/>
    <w:rsid w:val="00A23B89"/>
    <w:rsid w:val="00A27CF0"/>
    <w:rsid w:val="00A27FE8"/>
    <w:rsid w:val="00A30EEC"/>
    <w:rsid w:val="00A32CCE"/>
    <w:rsid w:val="00A35770"/>
    <w:rsid w:val="00A3654E"/>
    <w:rsid w:val="00A36F4F"/>
    <w:rsid w:val="00A37406"/>
    <w:rsid w:val="00A41908"/>
    <w:rsid w:val="00A41FDB"/>
    <w:rsid w:val="00A41FFD"/>
    <w:rsid w:val="00A43775"/>
    <w:rsid w:val="00A44703"/>
    <w:rsid w:val="00A4630E"/>
    <w:rsid w:val="00A51B50"/>
    <w:rsid w:val="00A5480D"/>
    <w:rsid w:val="00A54F0E"/>
    <w:rsid w:val="00A574CA"/>
    <w:rsid w:val="00A57F69"/>
    <w:rsid w:val="00A67484"/>
    <w:rsid w:val="00A67E21"/>
    <w:rsid w:val="00A67EA0"/>
    <w:rsid w:val="00A70A26"/>
    <w:rsid w:val="00A74F2B"/>
    <w:rsid w:val="00A801FD"/>
    <w:rsid w:val="00A87F1A"/>
    <w:rsid w:val="00A9253B"/>
    <w:rsid w:val="00A92A11"/>
    <w:rsid w:val="00A92C3E"/>
    <w:rsid w:val="00A93809"/>
    <w:rsid w:val="00A94D01"/>
    <w:rsid w:val="00AA0511"/>
    <w:rsid w:val="00AA0E79"/>
    <w:rsid w:val="00AA34F1"/>
    <w:rsid w:val="00AA4D64"/>
    <w:rsid w:val="00AA615E"/>
    <w:rsid w:val="00AB1655"/>
    <w:rsid w:val="00AB222F"/>
    <w:rsid w:val="00AB320E"/>
    <w:rsid w:val="00AB3898"/>
    <w:rsid w:val="00AB5711"/>
    <w:rsid w:val="00AB62C3"/>
    <w:rsid w:val="00AC0368"/>
    <w:rsid w:val="00AC062A"/>
    <w:rsid w:val="00AC20BA"/>
    <w:rsid w:val="00AC367F"/>
    <w:rsid w:val="00AD2E3D"/>
    <w:rsid w:val="00AD4054"/>
    <w:rsid w:val="00AD48BA"/>
    <w:rsid w:val="00AD4D25"/>
    <w:rsid w:val="00AD56A4"/>
    <w:rsid w:val="00AD5994"/>
    <w:rsid w:val="00AD7D20"/>
    <w:rsid w:val="00AE21D4"/>
    <w:rsid w:val="00AE29FF"/>
    <w:rsid w:val="00AE2DCB"/>
    <w:rsid w:val="00AE3305"/>
    <w:rsid w:val="00AE355C"/>
    <w:rsid w:val="00AE57C8"/>
    <w:rsid w:val="00AE57E6"/>
    <w:rsid w:val="00AE695D"/>
    <w:rsid w:val="00AE710E"/>
    <w:rsid w:val="00AE7270"/>
    <w:rsid w:val="00AF028C"/>
    <w:rsid w:val="00AF38BF"/>
    <w:rsid w:val="00AF48BB"/>
    <w:rsid w:val="00AF6BF7"/>
    <w:rsid w:val="00B04C38"/>
    <w:rsid w:val="00B066CE"/>
    <w:rsid w:val="00B07563"/>
    <w:rsid w:val="00B1082E"/>
    <w:rsid w:val="00B125AE"/>
    <w:rsid w:val="00B12ACD"/>
    <w:rsid w:val="00B12EAB"/>
    <w:rsid w:val="00B12FC8"/>
    <w:rsid w:val="00B14030"/>
    <w:rsid w:val="00B16E4B"/>
    <w:rsid w:val="00B20EAA"/>
    <w:rsid w:val="00B22752"/>
    <w:rsid w:val="00B25FB0"/>
    <w:rsid w:val="00B26B69"/>
    <w:rsid w:val="00B30302"/>
    <w:rsid w:val="00B3062A"/>
    <w:rsid w:val="00B31509"/>
    <w:rsid w:val="00B31574"/>
    <w:rsid w:val="00B31CE5"/>
    <w:rsid w:val="00B35235"/>
    <w:rsid w:val="00B3699F"/>
    <w:rsid w:val="00B36A26"/>
    <w:rsid w:val="00B36EEC"/>
    <w:rsid w:val="00B40088"/>
    <w:rsid w:val="00B437BE"/>
    <w:rsid w:val="00B45A91"/>
    <w:rsid w:val="00B47291"/>
    <w:rsid w:val="00B479E5"/>
    <w:rsid w:val="00B51892"/>
    <w:rsid w:val="00B52BE0"/>
    <w:rsid w:val="00B530E4"/>
    <w:rsid w:val="00B533AA"/>
    <w:rsid w:val="00B53E1B"/>
    <w:rsid w:val="00B54986"/>
    <w:rsid w:val="00B56A9D"/>
    <w:rsid w:val="00B608AD"/>
    <w:rsid w:val="00B623CC"/>
    <w:rsid w:val="00B711A4"/>
    <w:rsid w:val="00B73194"/>
    <w:rsid w:val="00B74F02"/>
    <w:rsid w:val="00B8081F"/>
    <w:rsid w:val="00B80C81"/>
    <w:rsid w:val="00B83ED1"/>
    <w:rsid w:val="00B843D2"/>
    <w:rsid w:val="00B8503F"/>
    <w:rsid w:val="00B85640"/>
    <w:rsid w:val="00B85E72"/>
    <w:rsid w:val="00B8695B"/>
    <w:rsid w:val="00B91E04"/>
    <w:rsid w:val="00B93754"/>
    <w:rsid w:val="00B93FEE"/>
    <w:rsid w:val="00B9477C"/>
    <w:rsid w:val="00B97FF0"/>
    <w:rsid w:val="00BA0291"/>
    <w:rsid w:val="00BA154B"/>
    <w:rsid w:val="00BA3513"/>
    <w:rsid w:val="00BA3CE7"/>
    <w:rsid w:val="00BA402C"/>
    <w:rsid w:val="00BA49A6"/>
    <w:rsid w:val="00BA65F7"/>
    <w:rsid w:val="00BB1FF9"/>
    <w:rsid w:val="00BB29DC"/>
    <w:rsid w:val="00BB4BBF"/>
    <w:rsid w:val="00BB52AE"/>
    <w:rsid w:val="00BB6D96"/>
    <w:rsid w:val="00BC4D8A"/>
    <w:rsid w:val="00BC5E92"/>
    <w:rsid w:val="00BD22EB"/>
    <w:rsid w:val="00BD3F01"/>
    <w:rsid w:val="00BD44F5"/>
    <w:rsid w:val="00BD46F0"/>
    <w:rsid w:val="00BE1FCB"/>
    <w:rsid w:val="00BE3682"/>
    <w:rsid w:val="00BE4EC5"/>
    <w:rsid w:val="00BE7B5B"/>
    <w:rsid w:val="00BF4137"/>
    <w:rsid w:val="00BF4800"/>
    <w:rsid w:val="00BF4A74"/>
    <w:rsid w:val="00BF5CCE"/>
    <w:rsid w:val="00BF6144"/>
    <w:rsid w:val="00BF6326"/>
    <w:rsid w:val="00C023C8"/>
    <w:rsid w:val="00C03336"/>
    <w:rsid w:val="00C04115"/>
    <w:rsid w:val="00C0428F"/>
    <w:rsid w:val="00C04FD7"/>
    <w:rsid w:val="00C05250"/>
    <w:rsid w:val="00C062CA"/>
    <w:rsid w:val="00C067FC"/>
    <w:rsid w:val="00C07BD7"/>
    <w:rsid w:val="00C14C1F"/>
    <w:rsid w:val="00C21AF9"/>
    <w:rsid w:val="00C25642"/>
    <w:rsid w:val="00C27972"/>
    <w:rsid w:val="00C301C4"/>
    <w:rsid w:val="00C30C6D"/>
    <w:rsid w:val="00C358E4"/>
    <w:rsid w:val="00C35C8A"/>
    <w:rsid w:val="00C3663E"/>
    <w:rsid w:val="00C377ED"/>
    <w:rsid w:val="00C50F6C"/>
    <w:rsid w:val="00C52B36"/>
    <w:rsid w:val="00C52C80"/>
    <w:rsid w:val="00C54BD9"/>
    <w:rsid w:val="00C55BFB"/>
    <w:rsid w:val="00C56189"/>
    <w:rsid w:val="00C5664B"/>
    <w:rsid w:val="00C6072E"/>
    <w:rsid w:val="00C6090B"/>
    <w:rsid w:val="00C61BD9"/>
    <w:rsid w:val="00C65B0C"/>
    <w:rsid w:val="00C6753F"/>
    <w:rsid w:val="00C70530"/>
    <w:rsid w:val="00C71E70"/>
    <w:rsid w:val="00C71F75"/>
    <w:rsid w:val="00C751A0"/>
    <w:rsid w:val="00C76A4E"/>
    <w:rsid w:val="00C8149D"/>
    <w:rsid w:val="00C8287F"/>
    <w:rsid w:val="00C82C5A"/>
    <w:rsid w:val="00C82CB4"/>
    <w:rsid w:val="00C9596B"/>
    <w:rsid w:val="00C95DB7"/>
    <w:rsid w:val="00C95E5F"/>
    <w:rsid w:val="00C96557"/>
    <w:rsid w:val="00CA1D25"/>
    <w:rsid w:val="00CA68BB"/>
    <w:rsid w:val="00CA736B"/>
    <w:rsid w:val="00CB0A42"/>
    <w:rsid w:val="00CB1951"/>
    <w:rsid w:val="00CB2B95"/>
    <w:rsid w:val="00CB6D5A"/>
    <w:rsid w:val="00CC0BBD"/>
    <w:rsid w:val="00CC1904"/>
    <w:rsid w:val="00CC215E"/>
    <w:rsid w:val="00CC2D41"/>
    <w:rsid w:val="00CC4AC1"/>
    <w:rsid w:val="00CC555B"/>
    <w:rsid w:val="00CC63C1"/>
    <w:rsid w:val="00CC7654"/>
    <w:rsid w:val="00CD0610"/>
    <w:rsid w:val="00CD14D5"/>
    <w:rsid w:val="00CD158C"/>
    <w:rsid w:val="00CD59F3"/>
    <w:rsid w:val="00CD6652"/>
    <w:rsid w:val="00CD77C6"/>
    <w:rsid w:val="00CE03F3"/>
    <w:rsid w:val="00CE1C8B"/>
    <w:rsid w:val="00CE2C73"/>
    <w:rsid w:val="00CE3815"/>
    <w:rsid w:val="00CE3CB4"/>
    <w:rsid w:val="00CE6A3F"/>
    <w:rsid w:val="00CF450C"/>
    <w:rsid w:val="00CF49C7"/>
    <w:rsid w:val="00CF5CDA"/>
    <w:rsid w:val="00CF728F"/>
    <w:rsid w:val="00CF7837"/>
    <w:rsid w:val="00D00F16"/>
    <w:rsid w:val="00D01CBD"/>
    <w:rsid w:val="00D03B2C"/>
    <w:rsid w:val="00D04ADE"/>
    <w:rsid w:val="00D05F86"/>
    <w:rsid w:val="00D06058"/>
    <w:rsid w:val="00D063D3"/>
    <w:rsid w:val="00D06BFC"/>
    <w:rsid w:val="00D071C4"/>
    <w:rsid w:val="00D101C4"/>
    <w:rsid w:val="00D11934"/>
    <w:rsid w:val="00D12C67"/>
    <w:rsid w:val="00D14FCC"/>
    <w:rsid w:val="00D1500E"/>
    <w:rsid w:val="00D15CCE"/>
    <w:rsid w:val="00D1601E"/>
    <w:rsid w:val="00D173AC"/>
    <w:rsid w:val="00D240B6"/>
    <w:rsid w:val="00D2565E"/>
    <w:rsid w:val="00D270B1"/>
    <w:rsid w:val="00D27450"/>
    <w:rsid w:val="00D318D9"/>
    <w:rsid w:val="00D31A91"/>
    <w:rsid w:val="00D3288A"/>
    <w:rsid w:val="00D358FA"/>
    <w:rsid w:val="00D36950"/>
    <w:rsid w:val="00D378BE"/>
    <w:rsid w:val="00D40817"/>
    <w:rsid w:val="00D41269"/>
    <w:rsid w:val="00D42C60"/>
    <w:rsid w:val="00D436C2"/>
    <w:rsid w:val="00D44F37"/>
    <w:rsid w:val="00D46D86"/>
    <w:rsid w:val="00D508DA"/>
    <w:rsid w:val="00D50C28"/>
    <w:rsid w:val="00D52E1B"/>
    <w:rsid w:val="00D5308C"/>
    <w:rsid w:val="00D56801"/>
    <w:rsid w:val="00D62791"/>
    <w:rsid w:val="00D64ACA"/>
    <w:rsid w:val="00D6594E"/>
    <w:rsid w:val="00D70F77"/>
    <w:rsid w:val="00D71918"/>
    <w:rsid w:val="00D72474"/>
    <w:rsid w:val="00D727EB"/>
    <w:rsid w:val="00D729F4"/>
    <w:rsid w:val="00D751DB"/>
    <w:rsid w:val="00D76986"/>
    <w:rsid w:val="00D77C61"/>
    <w:rsid w:val="00D802A3"/>
    <w:rsid w:val="00D830A7"/>
    <w:rsid w:val="00D87F6F"/>
    <w:rsid w:val="00D909A1"/>
    <w:rsid w:val="00D90DE0"/>
    <w:rsid w:val="00D91FD4"/>
    <w:rsid w:val="00D92111"/>
    <w:rsid w:val="00D94C74"/>
    <w:rsid w:val="00D9540C"/>
    <w:rsid w:val="00DA3A39"/>
    <w:rsid w:val="00DA7D1A"/>
    <w:rsid w:val="00DB0F35"/>
    <w:rsid w:val="00DB25CB"/>
    <w:rsid w:val="00DB58AE"/>
    <w:rsid w:val="00DB7AF2"/>
    <w:rsid w:val="00DC3593"/>
    <w:rsid w:val="00DC41C5"/>
    <w:rsid w:val="00DC58BB"/>
    <w:rsid w:val="00DC60B7"/>
    <w:rsid w:val="00DC616C"/>
    <w:rsid w:val="00DC6C21"/>
    <w:rsid w:val="00DC7457"/>
    <w:rsid w:val="00DD175C"/>
    <w:rsid w:val="00DD37B4"/>
    <w:rsid w:val="00DD44EE"/>
    <w:rsid w:val="00DD4B47"/>
    <w:rsid w:val="00DD7EB4"/>
    <w:rsid w:val="00DE53AF"/>
    <w:rsid w:val="00DE59F8"/>
    <w:rsid w:val="00DE7658"/>
    <w:rsid w:val="00DF0CCC"/>
    <w:rsid w:val="00DF1B20"/>
    <w:rsid w:val="00DF1FDD"/>
    <w:rsid w:val="00DF28AF"/>
    <w:rsid w:val="00DF50B1"/>
    <w:rsid w:val="00DF578C"/>
    <w:rsid w:val="00E00409"/>
    <w:rsid w:val="00E0129A"/>
    <w:rsid w:val="00E015CB"/>
    <w:rsid w:val="00E019DD"/>
    <w:rsid w:val="00E04BBB"/>
    <w:rsid w:val="00E0541F"/>
    <w:rsid w:val="00E065D2"/>
    <w:rsid w:val="00E06860"/>
    <w:rsid w:val="00E149C0"/>
    <w:rsid w:val="00E17668"/>
    <w:rsid w:val="00E17F1E"/>
    <w:rsid w:val="00E20728"/>
    <w:rsid w:val="00E207C8"/>
    <w:rsid w:val="00E21163"/>
    <w:rsid w:val="00E254D9"/>
    <w:rsid w:val="00E257C4"/>
    <w:rsid w:val="00E328C7"/>
    <w:rsid w:val="00E33C8E"/>
    <w:rsid w:val="00E35809"/>
    <w:rsid w:val="00E35AE8"/>
    <w:rsid w:val="00E36AF4"/>
    <w:rsid w:val="00E3768A"/>
    <w:rsid w:val="00E37966"/>
    <w:rsid w:val="00E4177F"/>
    <w:rsid w:val="00E437C6"/>
    <w:rsid w:val="00E439C8"/>
    <w:rsid w:val="00E4673B"/>
    <w:rsid w:val="00E46AA4"/>
    <w:rsid w:val="00E5042A"/>
    <w:rsid w:val="00E51FE6"/>
    <w:rsid w:val="00E525A7"/>
    <w:rsid w:val="00E5577C"/>
    <w:rsid w:val="00E61384"/>
    <w:rsid w:val="00E637B3"/>
    <w:rsid w:val="00E644E9"/>
    <w:rsid w:val="00E67073"/>
    <w:rsid w:val="00E7186A"/>
    <w:rsid w:val="00E72B03"/>
    <w:rsid w:val="00E75AB2"/>
    <w:rsid w:val="00E80240"/>
    <w:rsid w:val="00E811BD"/>
    <w:rsid w:val="00E81FB6"/>
    <w:rsid w:val="00E87A32"/>
    <w:rsid w:val="00E87F8D"/>
    <w:rsid w:val="00E90C21"/>
    <w:rsid w:val="00E91059"/>
    <w:rsid w:val="00E9232D"/>
    <w:rsid w:val="00E943AB"/>
    <w:rsid w:val="00E949C0"/>
    <w:rsid w:val="00E95548"/>
    <w:rsid w:val="00E970A1"/>
    <w:rsid w:val="00E97901"/>
    <w:rsid w:val="00EA02D0"/>
    <w:rsid w:val="00EA20C5"/>
    <w:rsid w:val="00EA24C3"/>
    <w:rsid w:val="00EA3EA9"/>
    <w:rsid w:val="00EA4D25"/>
    <w:rsid w:val="00EA50C5"/>
    <w:rsid w:val="00EA5E16"/>
    <w:rsid w:val="00EA66B4"/>
    <w:rsid w:val="00EB03A8"/>
    <w:rsid w:val="00EB3A5A"/>
    <w:rsid w:val="00EB563D"/>
    <w:rsid w:val="00EB5E0B"/>
    <w:rsid w:val="00EC206A"/>
    <w:rsid w:val="00EC35F1"/>
    <w:rsid w:val="00EC5703"/>
    <w:rsid w:val="00EC643D"/>
    <w:rsid w:val="00EC76D0"/>
    <w:rsid w:val="00ED1AC8"/>
    <w:rsid w:val="00ED3E9D"/>
    <w:rsid w:val="00ED48E7"/>
    <w:rsid w:val="00ED5EEB"/>
    <w:rsid w:val="00ED6C7D"/>
    <w:rsid w:val="00ED7D56"/>
    <w:rsid w:val="00EE05D4"/>
    <w:rsid w:val="00EE0EA0"/>
    <w:rsid w:val="00EE1E0E"/>
    <w:rsid w:val="00EE24A8"/>
    <w:rsid w:val="00EE2F56"/>
    <w:rsid w:val="00EE4C0A"/>
    <w:rsid w:val="00EE60F6"/>
    <w:rsid w:val="00EE6D7B"/>
    <w:rsid w:val="00EE7B04"/>
    <w:rsid w:val="00EF01F3"/>
    <w:rsid w:val="00EF1ECA"/>
    <w:rsid w:val="00EF28BF"/>
    <w:rsid w:val="00F01071"/>
    <w:rsid w:val="00F079DE"/>
    <w:rsid w:val="00F11C6F"/>
    <w:rsid w:val="00F122C9"/>
    <w:rsid w:val="00F129E5"/>
    <w:rsid w:val="00F13744"/>
    <w:rsid w:val="00F14D00"/>
    <w:rsid w:val="00F15EE7"/>
    <w:rsid w:val="00F178E8"/>
    <w:rsid w:val="00F20502"/>
    <w:rsid w:val="00F245F0"/>
    <w:rsid w:val="00F27F24"/>
    <w:rsid w:val="00F3047B"/>
    <w:rsid w:val="00F30D3E"/>
    <w:rsid w:val="00F31A7B"/>
    <w:rsid w:val="00F33418"/>
    <w:rsid w:val="00F334EB"/>
    <w:rsid w:val="00F33C89"/>
    <w:rsid w:val="00F359D1"/>
    <w:rsid w:val="00F371F7"/>
    <w:rsid w:val="00F37453"/>
    <w:rsid w:val="00F40AD3"/>
    <w:rsid w:val="00F413A7"/>
    <w:rsid w:val="00F415F5"/>
    <w:rsid w:val="00F4288B"/>
    <w:rsid w:val="00F42F78"/>
    <w:rsid w:val="00F5232F"/>
    <w:rsid w:val="00F52959"/>
    <w:rsid w:val="00F52ED7"/>
    <w:rsid w:val="00F56719"/>
    <w:rsid w:val="00F5674F"/>
    <w:rsid w:val="00F6080B"/>
    <w:rsid w:val="00F6241E"/>
    <w:rsid w:val="00F63B24"/>
    <w:rsid w:val="00F65772"/>
    <w:rsid w:val="00F71683"/>
    <w:rsid w:val="00F716E7"/>
    <w:rsid w:val="00F72437"/>
    <w:rsid w:val="00F7319A"/>
    <w:rsid w:val="00F734DD"/>
    <w:rsid w:val="00F73517"/>
    <w:rsid w:val="00F73541"/>
    <w:rsid w:val="00F82ED7"/>
    <w:rsid w:val="00F85E30"/>
    <w:rsid w:val="00F872AF"/>
    <w:rsid w:val="00F87E33"/>
    <w:rsid w:val="00F9222C"/>
    <w:rsid w:val="00F93E69"/>
    <w:rsid w:val="00F9527E"/>
    <w:rsid w:val="00F9742C"/>
    <w:rsid w:val="00F97801"/>
    <w:rsid w:val="00FA0A37"/>
    <w:rsid w:val="00FA0FC2"/>
    <w:rsid w:val="00FB0CA4"/>
    <w:rsid w:val="00FB1477"/>
    <w:rsid w:val="00FB1B40"/>
    <w:rsid w:val="00FB1B56"/>
    <w:rsid w:val="00FB4013"/>
    <w:rsid w:val="00FC031F"/>
    <w:rsid w:val="00FC2AC9"/>
    <w:rsid w:val="00FC3810"/>
    <w:rsid w:val="00FD0195"/>
    <w:rsid w:val="00FE0BEB"/>
    <w:rsid w:val="00FE0E2C"/>
    <w:rsid w:val="00FE1AD7"/>
    <w:rsid w:val="00FE2D2F"/>
    <w:rsid w:val="00FE2F38"/>
    <w:rsid w:val="00FE32A9"/>
    <w:rsid w:val="00FE3DF2"/>
    <w:rsid w:val="00FE52C6"/>
    <w:rsid w:val="00FE5970"/>
    <w:rsid w:val="00FF7247"/>
    <w:rsid w:val="024B4C4D"/>
    <w:rsid w:val="05101436"/>
    <w:rsid w:val="066511ED"/>
    <w:rsid w:val="07CF4C9B"/>
    <w:rsid w:val="08660DC3"/>
    <w:rsid w:val="090C74ED"/>
    <w:rsid w:val="0BA64E49"/>
    <w:rsid w:val="0F983271"/>
    <w:rsid w:val="137804E1"/>
    <w:rsid w:val="14794BFE"/>
    <w:rsid w:val="15AD5860"/>
    <w:rsid w:val="15E95429"/>
    <w:rsid w:val="1776568F"/>
    <w:rsid w:val="1F8848DC"/>
    <w:rsid w:val="242A16EE"/>
    <w:rsid w:val="26894A71"/>
    <w:rsid w:val="2E452A2B"/>
    <w:rsid w:val="30343F20"/>
    <w:rsid w:val="344C25BF"/>
    <w:rsid w:val="35235400"/>
    <w:rsid w:val="3C1C2756"/>
    <w:rsid w:val="3E0838F5"/>
    <w:rsid w:val="3F13731D"/>
    <w:rsid w:val="41C30E44"/>
    <w:rsid w:val="421767CA"/>
    <w:rsid w:val="45457289"/>
    <w:rsid w:val="470617E6"/>
    <w:rsid w:val="48C059F5"/>
    <w:rsid w:val="4EC27ABA"/>
    <w:rsid w:val="4FFB4B42"/>
    <w:rsid w:val="512F6015"/>
    <w:rsid w:val="54F865CD"/>
    <w:rsid w:val="59172AAC"/>
    <w:rsid w:val="59EE655A"/>
    <w:rsid w:val="5AC03A34"/>
    <w:rsid w:val="5BA051F7"/>
    <w:rsid w:val="5BD9548D"/>
    <w:rsid w:val="5C4E4420"/>
    <w:rsid w:val="5C746782"/>
    <w:rsid w:val="67FB775D"/>
    <w:rsid w:val="6AD0330B"/>
    <w:rsid w:val="73CC3E4A"/>
    <w:rsid w:val="75837530"/>
    <w:rsid w:val="778137CA"/>
    <w:rsid w:val="7B7139A4"/>
    <w:rsid w:val="7C08482E"/>
    <w:rsid w:val="7E406D96"/>
    <w:rsid w:val="7E7E6A87"/>
    <w:rsid w:val="7E852F37"/>
    <w:rsid w:val="7F014C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iPriority="99" w:name="List"/>
    <w:lsdException w:unhideWhenUsed="0" w:uiPriority="0" w:semiHidden="0" w:name="List Bullet" w:locked="1"/>
    <w:lsdException w:uiPriority="0" w:name="List Number" w:locked="1"/>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9"/>
    <w:pPr>
      <w:keepNext/>
      <w:keepLines/>
      <w:spacing w:before="340" w:after="330" w:line="578" w:lineRule="auto"/>
      <w:jc w:val="center"/>
      <w:outlineLvl w:val="0"/>
    </w:pPr>
    <w:rPr>
      <w:b/>
      <w:bCs/>
      <w:kern w:val="44"/>
      <w:sz w:val="44"/>
      <w:szCs w:val="44"/>
    </w:rPr>
  </w:style>
  <w:style w:type="paragraph" w:styleId="3">
    <w:name w:val="heading 2"/>
    <w:basedOn w:val="1"/>
    <w:next w:val="1"/>
    <w:link w:val="31"/>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99"/>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99"/>
    <w:pPr>
      <w:ind w:left="1260"/>
      <w:jc w:val="left"/>
    </w:pPr>
    <w:rPr>
      <w:sz w:val="18"/>
      <w:szCs w:val="18"/>
    </w:rPr>
  </w:style>
  <w:style w:type="paragraph" w:styleId="6">
    <w:name w:val="caption"/>
    <w:basedOn w:val="1"/>
    <w:next w:val="1"/>
    <w:qFormat/>
    <w:uiPriority w:val="99"/>
    <w:rPr>
      <w:rFonts w:ascii="等线 Light" w:hAnsi="等线 Light" w:eastAsia="黑体"/>
      <w:sz w:val="20"/>
      <w:szCs w:val="20"/>
    </w:rPr>
  </w:style>
  <w:style w:type="paragraph" w:styleId="7">
    <w:name w:val="Document Map"/>
    <w:basedOn w:val="1"/>
    <w:link w:val="42"/>
    <w:semiHidden/>
    <w:qFormat/>
    <w:uiPriority w:val="99"/>
    <w:pPr>
      <w:shd w:val="clear" w:color="auto" w:fill="000080"/>
    </w:pPr>
  </w:style>
  <w:style w:type="paragraph" w:styleId="8">
    <w:name w:val="annotation text"/>
    <w:basedOn w:val="1"/>
    <w:link w:val="35"/>
    <w:semiHidden/>
    <w:qFormat/>
    <w:uiPriority w:val="99"/>
    <w:pPr>
      <w:jc w:val="left"/>
    </w:pPr>
  </w:style>
  <w:style w:type="paragraph" w:styleId="9">
    <w:name w:val="toc 5"/>
    <w:basedOn w:val="1"/>
    <w:next w:val="1"/>
    <w:semiHidden/>
    <w:qFormat/>
    <w:uiPriority w:val="99"/>
    <w:pPr>
      <w:ind w:left="840"/>
      <w:jc w:val="left"/>
    </w:pPr>
    <w:rPr>
      <w:sz w:val="18"/>
      <w:szCs w:val="18"/>
    </w:rPr>
  </w:style>
  <w:style w:type="paragraph" w:styleId="10">
    <w:name w:val="toc 3"/>
    <w:basedOn w:val="1"/>
    <w:next w:val="1"/>
    <w:qFormat/>
    <w:uiPriority w:val="99"/>
    <w:pPr>
      <w:ind w:left="420"/>
      <w:jc w:val="left"/>
    </w:pPr>
    <w:rPr>
      <w:i/>
      <w:iCs/>
      <w:sz w:val="20"/>
      <w:szCs w:val="20"/>
    </w:rPr>
  </w:style>
  <w:style w:type="paragraph" w:styleId="11">
    <w:name w:val="toc 8"/>
    <w:basedOn w:val="1"/>
    <w:next w:val="1"/>
    <w:semiHidden/>
    <w:qFormat/>
    <w:uiPriority w:val="99"/>
    <w:pPr>
      <w:ind w:left="1470"/>
      <w:jc w:val="left"/>
    </w:pPr>
    <w:rPr>
      <w:sz w:val="18"/>
      <w:szCs w:val="18"/>
    </w:rPr>
  </w:style>
  <w:style w:type="paragraph" w:styleId="12">
    <w:name w:val="Date"/>
    <w:basedOn w:val="1"/>
    <w:next w:val="1"/>
    <w:link w:val="40"/>
    <w:qFormat/>
    <w:uiPriority w:val="99"/>
    <w:pPr>
      <w:ind w:left="100" w:leftChars="2500"/>
    </w:pPr>
  </w:style>
  <w:style w:type="paragraph" w:styleId="13">
    <w:name w:val="Body Text Indent 2"/>
    <w:basedOn w:val="1"/>
    <w:link w:val="33"/>
    <w:qFormat/>
    <w:uiPriority w:val="99"/>
    <w:pPr>
      <w:ind w:firstLine="560" w:firstLineChars="200"/>
    </w:pPr>
    <w:rPr>
      <w:rFonts w:ascii="仿宋_GB2312" w:hAnsi="宋体" w:eastAsia="仿宋_GB2312"/>
      <w:sz w:val="28"/>
    </w:rPr>
  </w:style>
  <w:style w:type="paragraph" w:styleId="14">
    <w:name w:val="Balloon Text"/>
    <w:basedOn w:val="1"/>
    <w:link w:val="34"/>
    <w:semiHidden/>
    <w:qFormat/>
    <w:uiPriority w:val="99"/>
    <w:rPr>
      <w:sz w:val="18"/>
      <w:szCs w:val="18"/>
    </w:rPr>
  </w:style>
  <w:style w:type="paragraph" w:styleId="15">
    <w:name w:val="footer"/>
    <w:basedOn w:val="1"/>
    <w:link w:val="38"/>
    <w:qFormat/>
    <w:uiPriority w:val="99"/>
    <w:pPr>
      <w:tabs>
        <w:tab w:val="center" w:pos="4153"/>
        <w:tab w:val="right" w:pos="8306"/>
      </w:tabs>
      <w:snapToGrid w:val="0"/>
      <w:jc w:val="left"/>
    </w:pPr>
    <w:rPr>
      <w:sz w:val="18"/>
      <w:szCs w:val="18"/>
    </w:rPr>
  </w:style>
  <w:style w:type="paragraph" w:styleId="16">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jc w:val="left"/>
    </w:pPr>
    <w:rPr>
      <w:b/>
      <w:bCs/>
      <w:caps/>
      <w:sz w:val="20"/>
      <w:szCs w:val="20"/>
    </w:rPr>
  </w:style>
  <w:style w:type="paragraph" w:styleId="18">
    <w:name w:val="toc 4"/>
    <w:basedOn w:val="1"/>
    <w:next w:val="1"/>
    <w:semiHidden/>
    <w:qFormat/>
    <w:uiPriority w:val="99"/>
    <w:pPr>
      <w:ind w:left="630"/>
      <w:jc w:val="left"/>
    </w:pPr>
    <w:rPr>
      <w:sz w:val="18"/>
      <w:szCs w:val="18"/>
    </w:rPr>
  </w:style>
  <w:style w:type="paragraph" w:styleId="19">
    <w:name w:val="toc 6"/>
    <w:basedOn w:val="1"/>
    <w:next w:val="1"/>
    <w:semiHidden/>
    <w:qFormat/>
    <w:uiPriority w:val="99"/>
    <w:pPr>
      <w:ind w:left="1050"/>
      <w:jc w:val="left"/>
    </w:pPr>
    <w:rPr>
      <w:sz w:val="18"/>
      <w:szCs w:val="18"/>
    </w:rPr>
  </w:style>
  <w:style w:type="paragraph" w:styleId="20">
    <w:name w:val="toc 2"/>
    <w:basedOn w:val="1"/>
    <w:next w:val="1"/>
    <w:qFormat/>
    <w:uiPriority w:val="99"/>
    <w:pPr>
      <w:ind w:left="210"/>
      <w:jc w:val="left"/>
    </w:pPr>
    <w:rPr>
      <w:smallCaps/>
      <w:sz w:val="20"/>
      <w:szCs w:val="20"/>
    </w:rPr>
  </w:style>
  <w:style w:type="paragraph" w:styleId="21">
    <w:name w:val="toc 9"/>
    <w:basedOn w:val="1"/>
    <w:next w:val="1"/>
    <w:semiHidden/>
    <w:qFormat/>
    <w:uiPriority w:val="99"/>
    <w:pPr>
      <w:ind w:left="1680"/>
      <w:jc w:val="left"/>
    </w:pPr>
    <w:rPr>
      <w:sz w:val="18"/>
      <w:szCs w:val="18"/>
    </w:r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3">
    <w:name w:val="annotation subject"/>
    <w:basedOn w:val="8"/>
    <w:next w:val="8"/>
    <w:link w:val="41"/>
    <w:semiHidden/>
    <w:qFormat/>
    <w:uiPriority w:val="99"/>
    <w:rPr>
      <w:b/>
      <w:bCs/>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99"/>
    <w:rPr>
      <w:rFonts w:cs="Times New Roman"/>
    </w:rPr>
  </w:style>
  <w:style w:type="character" w:styleId="28">
    <w:name w:val="Hyperlink"/>
    <w:qFormat/>
    <w:uiPriority w:val="99"/>
    <w:rPr>
      <w:rFonts w:cs="Times New Roman"/>
      <w:color w:val="0000FF"/>
      <w:u w:val="single"/>
    </w:rPr>
  </w:style>
  <w:style w:type="character" w:styleId="29">
    <w:name w:val="annotation reference"/>
    <w:semiHidden/>
    <w:qFormat/>
    <w:uiPriority w:val="99"/>
    <w:rPr>
      <w:rFonts w:cs="Times New Roman"/>
      <w:sz w:val="21"/>
    </w:rPr>
  </w:style>
  <w:style w:type="character" w:customStyle="1" w:styleId="30">
    <w:name w:val="标题 1 Char"/>
    <w:link w:val="2"/>
    <w:qFormat/>
    <w:locked/>
    <w:uiPriority w:val="99"/>
    <w:rPr>
      <w:rFonts w:cs="Times New Roman"/>
      <w:b/>
      <w:bCs/>
      <w:kern w:val="44"/>
      <w:sz w:val="44"/>
      <w:szCs w:val="44"/>
    </w:rPr>
  </w:style>
  <w:style w:type="character" w:customStyle="1" w:styleId="31">
    <w:name w:val="标题 2 Char"/>
    <w:link w:val="3"/>
    <w:semiHidden/>
    <w:qFormat/>
    <w:locked/>
    <w:uiPriority w:val="99"/>
    <w:rPr>
      <w:rFonts w:ascii="Cambria" w:hAnsi="Cambria" w:eastAsia="宋体" w:cs="Times New Roman"/>
      <w:b/>
      <w:bCs/>
      <w:sz w:val="32"/>
      <w:szCs w:val="32"/>
    </w:rPr>
  </w:style>
  <w:style w:type="character" w:customStyle="1" w:styleId="32">
    <w:name w:val="标题 3 Char"/>
    <w:link w:val="4"/>
    <w:semiHidden/>
    <w:qFormat/>
    <w:locked/>
    <w:uiPriority w:val="99"/>
    <w:rPr>
      <w:rFonts w:cs="Times New Roman"/>
      <w:b/>
      <w:bCs/>
      <w:sz w:val="32"/>
      <w:szCs w:val="32"/>
    </w:rPr>
  </w:style>
  <w:style w:type="character" w:customStyle="1" w:styleId="33">
    <w:name w:val="正文文本缩进 2 Char"/>
    <w:link w:val="13"/>
    <w:semiHidden/>
    <w:qFormat/>
    <w:locked/>
    <w:uiPriority w:val="99"/>
    <w:rPr>
      <w:rFonts w:cs="Times New Roman"/>
      <w:sz w:val="24"/>
      <w:szCs w:val="24"/>
    </w:rPr>
  </w:style>
  <w:style w:type="character" w:customStyle="1" w:styleId="34">
    <w:name w:val="批注框文本 Char"/>
    <w:link w:val="14"/>
    <w:semiHidden/>
    <w:qFormat/>
    <w:locked/>
    <w:uiPriority w:val="99"/>
    <w:rPr>
      <w:rFonts w:cs="Times New Roman"/>
      <w:sz w:val="2"/>
    </w:rPr>
  </w:style>
  <w:style w:type="character" w:customStyle="1" w:styleId="35">
    <w:name w:val="批注文字 Char"/>
    <w:link w:val="8"/>
    <w:semiHidden/>
    <w:qFormat/>
    <w:locked/>
    <w:uiPriority w:val="99"/>
    <w:rPr>
      <w:rFonts w:cs="Times New Roman"/>
      <w:sz w:val="24"/>
      <w:szCs w:val="24"/>
    </w:rPr>
  </w:style>
  <w:style w:type="paragraph" w:customStyle="1" w:styleId="36">
    <w:name w:val="Char Char1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37">
    <w:name w:val="页眉 Char"/>
    <w:link w:val="16"/>
    <w:qFormat/>
    <w:locked/>
    <w:uiPriority w:val="99"/>
    <w:rPr>
      <w:rFonts w:cs="Times New Roman"/>
      <w:kern w:val="2"/>
      <w:sz w:val="18"/>
    </w:rPr>
  </w:style>
  <w:style w:type="character" w:customStyle="1" w:styleId="38">
    <w:name w:val="页脚 Char"/>
    <w:link w:val="15"/>
    <w:qFormat/>
    <w:locked/>
    <w:uiPriority w:val="99"/>
    <w:rPr>
      <w:rFonts w:cs="Times New Roman"/>
      <w:kern w:val="2"/>
      <w:sz w:val="18"/>
    </w:rPr>
  </w:style>
  <w:style w:type="paragraph" w:customStyle="1" w:styleId="39">
    <w:name w:val="样式 标题 1 + 三号 段前: 7.8 磅 段后: 7.8 磅"/>
    <w:basedOn w:val="2"/>
    <w:qFormat/>
    <w:uiPriority w:val="0"/>
    <w:pPr>
      <w:spacing w:before="156" w:after="156"/>
      <w:outlineLvl w:val="1"/>
    </w:pPr>
    <w:rPr>
      <w:rFonts w:cs="宋体"/>
      <w:sz w:val="32"/>
      <w:szCs w:val="20"/>
    </w:rPr>
  </w:style>
  <w:style w:type="character" w:customStyle="1" w:styleId="40">
    <w:name w:val="日期 Char"/>
    <w:link w:val="12"/>
    <w:semiHidden/>
    <w:qFormat/>
    <w:locked/>
    <w:uiPriority w:val="99"/>
    <w:rPr>
      <w:rFonts w:cs="Times New Roman"/>
      <w:sz w:val="24"/>
      <w:szCs w:val="24"/>
    </w:rPr>
  </w:style>
  <w:style w:type="character" w:customStyle="1" w:styleId="41">
    <w:name w:val="批注主题 Char"/>
    <w:link w:val="23"/>
    <w:semiHidden/>
    <w:qFormat/>
    <w:locked/>
    <w:uiPriority w:val="99"/>
    <w:rPr>
      <w:rFonts w:cs="Times New Roman"/>
      <w:b/>
      <w:bCs/>
      <w:sz w:val="24"/>
      <w:szCs w:val="24"/>
    </w:rPr>
  </w:style>
  <w:style w:type="character" w:customStyle="1" w:styleId="42">
    <w:name w:val="文档结构图 Char"/>
    <w:link w:val="7"/>
    <w:semiHidden/>
    <w:qFormat/>
    <w:locked/>
    <w:uiPriority w:val="99"/>
    <w:rPr>
      <w:rFonts w:cs="Times New Roman"/>
      <w:sz w:val="2"/>
    </w:rPr>
  </w:style>
  <w:style w:type="paragraph" w:customStyle="1" w:styleId="43">
    <w:name w:val="样式"/>
    <w:basedOn w:val="1"/>
    <w:qFormat/>
    <w:uiPriority w:val="99"/>
    <w:pPr>
      <w:widowControl/>
      <w:spacing w:after="160" w:line="240" w:lineRule="exact"/>
      <w:jc w:val="left"/>
    </w:pPr>
  </w:style>
  <w:style w:type="paragraph" w:customStyle="1" w:styleId="44">
    <w:name w:val="Char Char Char Char"/>
    <w:basedOn w:val="1"/>
    <w:semiHidden/>
    <w:qFormat/>
    <w:uiPriority w:val="99"/>
    <w:pPr>
      <w:widowControl/>
      <w:spacing w:after="160" w:line="240" w:lineRule="exact"/>
      <w:jc w:val="left"/>
    </w:pPr>
    <w:rPr>
      <w:rFonts w:ascii="Verdana" w:hAnsi="Verdana"/>
      <w:kern w:val="0"/>
      <w:sz w:val="20"/>
      <w:szCs w:val="20"/>
      <w:lang w:eastAsia="en-US"/>
    </w:rPr>
  </w:style>
  <w:style w:type="paragraph" w:customStyle="1" w:styleId="45">
    <w:name w:val="TOC 标题1"/>
    <w:basedOn w:val="2"/>
    <w:next w:val="1"/>
    <w:qFormat/>
    <w:uiPriority w:val="99"/>
    <w:pPr>
      <w:widowControl/>
      <w:spacing w:before="240" w:after="0" w:line="259" w:lineRule="auto"/>
      <w:jc w:val="left"/>
      <w:outlineLvl w:val="9"/>
    </w:pPr>
    <w:rPr>
      <w:rFonts w:ascii="等线 Light" w:hAnsi="等线 Light" w:eastAsia="等线 Light"/>
      <w:b w:val="0"/>
      <w:bCs w:val="0"/>
      <w:color w:val="2F5496"/>
      <w:kern w:val="0"/>
      <w:sz w:val="32"/>
      <w:szCs w:val="32"/>
    </w:rPr>
  </w:style>
  <w:style w:type="table" w:customStyle="1" w:styleId="46">
    <w:name w:val="网格型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7">
    <w:name w:val="style61"/>
    <w:qFormat/>
    <w:uiPriority w:val="0"/>
    <w:rPr>
      <w:color w:val="000000"/>
      <w:sz w:val="20"/>
      <w:szCs w:val="20"/>
    </w:rPr>
  </w:style>
  <w:style w:type="table" w:customStyle="1" w:styleId="48">
    <w:name w:val="网格型2"/>
    <w:basedOn w:val="2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
    <w:name w:val="reader-word-layer reader-word-s3-7"/>
    <w:basedOn w:val="1"/>
    <w:qFormat/>
    <w:uiPriority w:val="0"/>
    <w:pPr>
      <w:widowControl/>
      <w:spacing w:before="100" w:beforeAutospacing="1" w:after="100" w:afterAutospacing="1"/>
      <w:jc w:val="left"/>
    </w:pPr>
    <w:rPr>
      <w:rFonts w:ascii="宋体" w:hAnsi="宋体" w:cs="宋体"/>
      <w:kern w:val="0"/>
      <w:sz w:val="24"/>
    </w:rPr>
  </w:style>
  <w:style w:type="character" w:customStyle="1" w:styleId="50">
    <w:name w:val="font21"/>
    <w:basedOn w:val="26"/>
    <w:qFormat/>
    <w:uiPriority w:val="0"/>
    <w:rPr>
      <w:rFonts w:hint="eastAsia" w:ascii="宋体" w:hAnsi="宋体" w:eastAsia="宋体" w:cs="宋体"/>
      <w:color w:val="000000"/>
      <w:sz w:val="32"/>
      <w:szCs w:val="32"/>
      <w:u w:val="none"/>
    </w:rPr>
  </w:style>
  <w:style w:type="character" w:customStyle="1" w:styleId="51">
    <w:name w:val="font01"/>
    <w:basedOn w:val="26"/>
    <w:qFormat/>
    <w:uiPriority w:val="0"/>
    <w:rPr>
      <w:rFonts w:hint="eastAsia" w:ascii="宋体" w:hAnsi="宋体" w:eastAsia="宋体" w:cs="宋体"/>
      <w:color w:val="000000"/>
      <w:sz w:val="32"/>
      <w:szCs w:val="32"/>
      <w:u w:val="none"/>
    </w:rPr>
  </w:style>
  <w:style w:type="character" w:customStyle="1" w:styleId="52">
    <w:name w:val="font11"/>
    <w:basedOn w:val="26"/>
    <w:qFormat/>
    <w:uiPriority w:val="0"/>
    <w:rPr>
      <w:rFonts w:hint="eastAsia" w:ascii="宋体" w:hAnsi="宋体" w:eastAsia="宋体" w:cs="宋体"/>
      <w:color w:val="000000"/>
      <w:sz w:val="32"/>
      <w:szCs w:val="32"/>
      <w:u w:val="none"/>
    </w:rPr>
  </w:style>
  <w:style w:type="character" w:customStyle="1" w:styleId="53">
    <w:name w:val="font31"/>
    <w:basedOn w:val="26"/>
    <w:qFormat/>
    <w:uiPriority w:val="0"/>
    <w:rPr>
      <w:rFonts w:hint="eastAsia" w:ascii="宋体" w:hAnsi="宋体" w:eastAsia="宋体" w:cs="宋体"/>
      <w:color w:val="000000"/>
      <w:sz w:val="32"/>
      <w:szCs w:val="32"/>
      <w:u w:val="none"/>
    </w:rPr>
  </w:style>
  <w:style w:type="character" w:customStyle="1" w:styleId="54">
    <w:name w:val="font51"/>
    <w:basedOn w:val="26"/>
    <w:uiPriority w:val="0"/>
    <w:rPr>
      <w:rFonts w:hint="eastAsia" w:ascii="宋体" w:hAnsi="宋体" w:eastAsia="宋体" w:cs="宋体"/>
      <w:b/>
      <w:bCs/>
      <w:color w:val="000000"/>
      <w:sz w:val="22"/>
      <w:szCs w:val="22"/>
      <w:u w:val="none"/>
    </w:rPr>
  </w:style>
  <w:style w:type="character" w:customStyle="1" w:styleId="55">
    <w:name w:val="font91"/>
    <w:basedOn w:val="26"/>
    <w:uiPriority w:val="0"/>
    <w:rPr>
      <w:rFonts w:hint="eastAsia" w:ascii="宋体" w:hAnsi="宋体" w:eastAsia="宋体" w:cs="宋体"/>
      <w:b/>
      <w:bCs/>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DC5590-94B1-4D94-BCAF-36720DB157E1}">
  <ds:schemaRefs/>
</ds:datastoreItem>
</file>

<file path=docProps/app.xml><?xml version="1.0" encoding="utf-8"?>
<Properties xmlns="http://schemas.openxmlformats.org/officeDocument/2006/extended-properties" xmlns:vt="http://schemas.openxmlformats.org/officeDocument/2006/docPropsVTypes">
  <Template>Normal</Template>
  <Company>ChinaTelecom</Company>
  <Pages>57</Pages>
  <Words>36352</Words>
  <Characters>37260</Characters>
  <Lines>371</Lines>
  <Paragraphs>104</Paragraphs>
  <TotalTime>7</TotalTime>
  <ScaleCrop>false</ScaleCrop>
  <LinksUpToDate>false</LinksUpToDate>
  <CharactersWithSpaces>37311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2018-05-03T06:39:00Z</dcterms:created>
  <dc:creator>Hbj</dc:creator>
  <cp:lastModifiedBy>小海</cp:lastModifiedBy>
  <cp:lastPrinted>2015-05-20T07:22:00Z</cp:lastPrinted>
  <dcterms:modified xsi:type="dcterms:W3CDTF">2021-09-27T00:47:13Z</dcterms:modified>
  <dc:title>关于编制2012级各专业人才培养方案的通知</dc:title>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4BB804E98BFB480488544E47A956F933</vt:lpwstr>
  </property>
</Properties>
</file>